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1" w:name="_GoBack"/>
      <w:bookmarkEnd w:id="1"/>
      <w:bookmarkStart w:id="0" w:name="_Hlk104836407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深市B转H业务迁入易境通平台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2022年</w:t>
      </w:r>
      <w:r>
        <w:rPr>
          <w:rFonts w:hint="eastAsia"/>
          <w:b/>
          <w:sz w:val="32"/>
          <w:szCs w:val="32"/>
          <w:lang w:val="en-US" w:eastAsia="zh-CN"/>
        </w:rPr>
        <w:t>8</w:t>
      </w:r>
      <w:r>
        <w:rPr>
          <w:rFonts w:hint="eastAsia"/>
          <w:b/>
          <w:sz w:val="32"/>
          <w:szCs w:val="32"/>
        </w:rPr>
        <w:t>月</w:t>
      </w:r>
      <w:r>
        <w:rPr>
          <w:rFonts w:hint="eastAsia"/>
          <w:b/>
          <w:sz w:val="32"/>
          <w:szCs w:val="32"/>
          <w:lang w:val="en-US" w:eastAsia="zh-CN"/>
        </w:rPr>
        <w:t>13</w:t>
      </w:r>
      <w:r>
        <w:rPr>
          <w:rFonts w:hint="eastAsia"/>
          <w:b/>
          <w:sz w:val="32"/>
          <w:szCs w:val="32"/>
        </w:rPr>
        <w:t>日全网测试方案</w:t>
      </w:r>
    </w:p>
    <w:p>
      <w:pPr>
        <w:jc w:val="center"/>
        <w:rPr>
          <w:b/>
          <w:sz w:val="32"/>
          <w:szCs w:val="32"/>
        </w:rPr>
      </w:pPr>
    </w:p>
    <w:p>
      <w:pPr>
        <w:numPr>
          <w:ilvl w:val="0"/>
          <w:numId w:val="1"/>
        </w:numPr>
        <w:ind w:left="0" w:firstLine="0"/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测试目的</w:t>
      </w:r>
    </w:p>
    <w:p>
      <w:pPr>
        <w:widowControl/>
        <w:ind w:firstLine="560" w:firstLineChars="200"/>
        <w:jc w:val="left"/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为提升跨境业务的通信服务质量，配合控制交易风险，深圳证券通信有限公司（以下简称“深证通”）在易境通平台支持开展B转H业务后，又对系统进行了升级和优化。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为保证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系统各项功能正常运行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，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深证通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定于20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22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年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月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13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日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组织全网测试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，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通过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模拟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B转H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的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交易指令在易境通平台进行传输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，以验证市场参与各方技术系统的正确性。</w:t>
      </w:r>
    </w:p>
    <w:p>
      <w:pPr>
        <w:widowControl/>
        <w:ind w:firstLine="560" w:firstLineChars="200"/>
        <w:jc w:val="left"/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</w:pPr>
    </w:p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参测单位</w:t>
      </w:r>
    </w:p>
    <w:p>
      <w:pPr>
        <w:pStyle w:val="6"/>
        <w:numPr>
          <w:ilvl w:val="0"/>
          <w:numId w:val="2"/>
        </w:numPr>
        <w:spacing w:line="560" w:lineRule="exact"/>
        <w:ind w:firstLine="560" w:firstLineChars="0"/>
        <w:rPr>
          <w:rFonts w:hint="eastAsia"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深圳证券通信有限公司</w:t>
      </w:r>
    </w:p>
    <w:p>
      <w:pPr>
        <w:pStyle w:val="6"/>
        <w:numPr>
          <w:ilvl w:val="0"/>
          <w:numId w:val="2"/>
        </w:numPr>
        <w:spacing w:line="560" w:lineRule="exact"/>
        <w:ind w:firstLine="560" w:firstLineChars="0"/>
        <w:rPr>
          <w:rFonts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中国结算深圳分公司</w:t>
      </w:r>
    </w:p>
    <w:p>
      <w:pPr>
        <w:pStyle w:val="6"/>
        <w:numPr>
          <w:ilvl w:val="0"/>
          <w:numId w:val="2"/>
        </w:numPr>
        <w:spacing w:line="560" w:lineRule="exact"/>
        <w:ind w:firstLine="560" w:firstLineChars="0"/>
        <w:rPr>
          <w:rFonts w:hint="eastAsia"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B转H境内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证券公司</w:t>
      </w:r>
    </w:p>
    <w:p>
      <w:pPr>
        <w:pStyle w:val="6"/>
        <w:numPr>
          <w:ilvl w:val="0"/>
          <w:numId w:val="2"/>
        </w:numPr>
        <w:spacing w:line="560" w:lineRule="exact"/>
        <w:ind w:firstLine="560" w:firstLineChars="0"/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B转H境外代理证券公司</w:t>
      </w:r>
    </w:p>
    <w:p>
      <w:pPr>
        <w:widowControl/>
        <w:tabs>
          <w:tab w:val="left" w:pos="840"/>
        </w:tabs>
        <w:spacing w:line="360" w:lineRule="atLeast"/>
        <w:jc w:val="left"/>
        <w:rPr>
          <w:rFonts w:ascii="楷体_GB2312" w:hAnsi="楷体_GB2312" w:eastAsia="楷体_GB2312" w:cs="楷体_GB2312"/>
          <w:sz w:val="28"/>
          <w:szCs w:val="28"/>
        </w:rPr>
      </w:pPr>
    </w:p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测试内容</w:t>
      </w:r>
    </w:p>
    <w:p>
      <w:pPr>
        <w:ind w:firstLine="560" w:firstLineChars="200"/>
        <w:jc w:val="left"/>
        <w:rPr>
          <w:rFonts w:hint="eastAsia" w:ascii="楷体_GB2312" w:hAnsi="楷体_GB2312" w:eastAsia="楷体_GB2312" w:cs="楷体_GB2312"/>
          <w:bCs/>
          <w:color w:val="auto"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color w:val="auto"/>
          <w:sz w:val="28"/>
          <w:szCs w:val="28"/>
          <w:lang w:val="en-US" w:eastAsia="zh-CN"/>
        </w:rPr>
        <w:t>因新旧系统切换仅涉及交易指令传输通道的变更，故本次测试主要内容为验证B转H交易指令传输的正确性。</w:t>
      </w:r>
    </w:p>
    <w:p>
      <w:pPr>
        <w:widowControl/>
        <w:numPr>
          <w:ilvl w:val="0"/>
          <w:numId w:val="0"/>
        </w:numPr>
        <w:spacing w:line="360" w:lineRule="atLeast"/>
        <w:ind w:left="510" w:leftChars="0"/>
        <w:jc w:val="left"/>
        <w:outlineLvl w:val="1"/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本次测试重点包括以下内容：</w:t>
      </w:r>
    </w:p>
    <w:p>
      <w:pPr>
        <w:widowControl/>
        <w:numPr>
          <w:ilvl w:val="0"/>
          <w:numId w:val="3"/>
        </w:numPr>
        <w:spacing w:line="360" w:lineRule="atLeast"/>
        <w:ind w:firstLine="510"/>
        <w:jc w:val="left"/>
        <w:outlineLvl w:val="1"/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境内证券公司通过易境通平台报送B转H交易卖出委托、转托管委托，并验证对应的回报是否正确。重点覆盖测试证券（证券代码为299999）的交易卖空、碎股交易、重复订单等场景（详见附件一测试反馈表）；</w:t>
      </w:r>
    </w:p>
    <w:p>
      <w:pPr>
        <w:widowControl/>
        <w:numPr>
          <w:ilvl w:val="0"/>
          <w:numId w:val="3"/>
        </w:numPr>
        <w:spacing w:line="360" w:lineRule="atLeast"/>
        <w:ind w:firstLine="510"/>
        <w:jc w:val="left"/>
        <w:outlineLvl w:val="1"/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尚未在易境通平台开展B转H业务的境内证券公司模拟并行期间无法通过易境通平台报送B转H交易指令时，通过B转H通信系统报送B转H交易卖出委托、转托管委托，并验证对应的回报是否正确；</w:t>
      </w:r>
    </w:p>
    <w:p>
      <w:pPr>
        <w:widowControl/>
        <w:numPr>
          <w:ilvl w:val="0"/>
          <w:numId w:val="3"/>
        </w:numPr>
        <w:spacing w:line="360" w:lineRule="atLeast"/>
        <w:ind w:firstLine="510"/>
        <w:jc w:val="left"/>
        <w:outlineLvl w:val="1"/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境外代理券商同时从易境通平台和B转H通信系统接收委托，并根据委托传输通道原路返回回报。</w:t>
      </w:r>
    </w:p>
    <w:p>
      <w:pPr>
        <w:widowControl/>
        <w:spacing w:line="360" w:lineRule="atLeast"/>
        <w:jc w:val="left"/>
        <w:rPr>
          <w:rFonts w:ascii="楷体_GB2312" w:hAnsi="楷体_GB2312" w:eastAsia="楷体_GB2312" w:cs="楷体_GB2312"/>
          <w:color w:val="2E2E2E"/>
          <w:kern w:val="0"/>
          <w:sz w:val="28"/>
          <w:szCs w:val="28"/>
        </w:rPr>
      </w:pPr>
    </w:p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测试时间</w:t>
      </w:r>
    </w:p>
    <w:p>
      <w:pPr>
        <w:ind w:firstLine="562" w:firstLineChars="200"/>
        <w:rPr>
          <w:rFonts w:ascii="楷体_GB2312" w:hAnsi="楷体_GB2312" w:eastAsia="楷体_GB2312" w:cs="楷体_GB2312"/>
          <w:b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</w:rPr>
        <w:t>测试时间为2022年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</w:rPr>
        <w:t>月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  <w:lang w:val="en-US" w:eastAsia="zh-CN"/>
        </w:rPr>
        <w:t>13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</w:rPr>
        <w:t>日（星期六）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  <w:lang w:val="en-US" w:eastAsia="zh-CN"/>
        </w:rPr>
        <w:t>8:55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</w:rPr>
        <w:t>至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  <w:lang w:val="en-US" w:eastAsia="zh-CN"/>
        </w:rPr>
        <w:t>15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</w:rPr>
        <w:t>: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  <w:lang w:val="en-US" w:eastAsia="zh-CN"/>
        </w:rPr>
        <w:t>0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</w:rPr>
        <w:t>0。</w:t>
      </w:r>
    </w:p>
    <w:p>
      <w:pPr>
        <w:ind w:firstLine="560" w:firstLineChars="200"/>
        <w:rPr>
          <w:rFonts w:hint="eastAsia"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具体安排请见下表：</w:t>
      </w:r>
    </w:p>
    <w:tbl>
      <w:tblPr>
        <w:tblStyle w:val="3"/>
        <w:tblW w:w="7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3887"/>
        <w:gridCol w:w="2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shd w:val="clear" w:color="auto" w:fill="E0E0E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  <w:t>实际时间</w:t>
            </w:r>
          </w:p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  <w:t>(测试日)</w:t>
            </w:r>
          </w:p>
        </w:tc>
        <w:tc>
          <w:tcPr>
            <w:tcW w:w="3887" w:type="dxa"/>
            <w:shd w:val="clear" w:color="auto" w:fill="E0E0E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  <w:t>测试内容</w:t>
            </w:r>
          </w:p>
        </w:tc>
        <w:tc>
          <w:tcPr>
            <w:tcW w:w="2034" w:type="dxa"/>
            <w:shd w:val="clear" w:color="auto" w:fill="E0E0E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  <w:t>测试重点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9:00-9:30</w:t>
            </w:r>
          </w:p>
        </w:tc>
        <w:tc>
          <w:tcPr>
            <w:tcW w:w="3887" w:type="dxa"/>
            <w:noWrap w:val="0"/>
            <w:vAlign w:val="top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境外代理券商发送数据文件给中国结算深圳分公司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HTXQSK.DBF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  <w:t>9: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  <w:t>-1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  <w:t>: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  <w:t>0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易境通B转H业务平台委托时间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  <w:t>8:55-11:30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易境通H股全流通业务平台委托时间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  <w:t>9：15-11：30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B转H通信系统委托时间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hAnsi="楷体_GB2312" w:eastAsia="楷体_GB2312" w:cs="楷体_GB2312"/>
                <w:color w:val="000000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1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: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0-1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:00</w:t>
            </w:r>
          </w:p>
        </w:tc>
        <w:tc>
          <w:tcPr>
            <w:tcW w:w="3887" w:type="dxa"/>
            <w:noWrap w:val="0"/>
            <w:vAlign w:val="top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境外代理券商发送数据文件给中国结算深圳分公司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HTXCJK.DBF</w:t>
            </w:r>
          </w:p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HTXMXK.DBF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11:45之前</w:t>
            </w:r>
          </w:p>
        </w:tc>
        <w:tc>
          <w:tcPr>
            <w:tcW w:w="3887" w:type="dxa"/>
            <w:noWrap w:val="0"/>
            <w:vAlign w:val="top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境外代理券商发送B转H全天市场闭市标志和H股全流通回报结束消息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14:00-15：00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易境通生产环境恢复性验证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使用生产网关测试委托回报回路</w:t>
            </w:r>
          </w:p>
        </w:tc>
      </w:tr>
    </w:tbl>
    <w:p>
      <w:pPr>
        <w:widowControl/>
        <w:spacing w:line="408" w:lineRule="auto"/>
        <w:jc w:val="left"/>
        <w:rPr>
          <w:rFonts w:ascii="楷体_GB2312" w:hAnsi="楷体_GB2312" w:eastAsia="楷体_GB2312" w:cs="楷体_GB2312"/>
          <w:kern w:val="0"/>
          <w:sz w:val="28"/>
          <w:szCs w:val="28"/>
        </w:rPr>
      </w:pPr>
    </w:p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测试数据</w:t>
      </w:r>
    </w:p>
    <w:p>
      <w:pPr>
        <w:pStyle w:val="6"/>
        <w:numPr>
          <w:ilvl w:val="0"/>
          <w:numId w:val="4"/>
        </w:numPr>
        <w:spacing w:line="560" w:lineRule="exact"/>
        <w:ind w:firstLine="560" w:firstLineChars="0"/>
        <w:outlineLvl w:val="1"/>
        <w:rPr>
          <w:rFonts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B转H证券代码如下表。其中299901、299902、299903在易境通平台和B转H通信系统均可报单；新增299999仅可在易境通平台报单。</w:t>
      </w:r>
    </w:p>
    <w:tbl>
      <w:tblPr>
        <w:tblStyle w:val="3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153"/>
        <w:gridCol w:w="1150"/>
        <w:gridCol w:w="1306"/>
        <w:gridCol w:w="669"/>
        <w:gridCol w:w="1975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  <w:t>测试业务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  <w:t>港股代码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  <w:t>简称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  <w:t>来源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  <w:lang w:val="en-US" w:eastAsia="zh-CN"/>
              </w:rPr>
              <w:t>境外代理证券公司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B转H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29990</w:t>
            </w: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02039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中集H代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存量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国泰君安香港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29990</w:t>
            </w: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01513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丽珠H代</w:t>
            </w:r>
          </w:p>
        </w:tc>
        <w:tc>
          <w:tcPr>
            <w:tcW w:w="6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存量</w:t>
            </w:r>
          </w:p>
        </w:tc>
        <w:tc>
          <w:tcPr>
            <w:tcW w:w="19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国信香港</w:t>
            </w:r>
          </w:p>
        </w:tc>
        <w:tc>
          <w:tcPr>
            <w:tcW w:w="13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29990</w:t>
            </w: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02202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万科H代</w:t>
            </w:r>
          </w:p>
        </w:tc>
        <w:tc>
          <w:tcPr>
            <w:tcW w:w="6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存量</w:t>
            </w:r>
          </w:p>
        </w:tc>
        <w:tc>
          <w:tcPr>
            <w:tcW w:w="19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中信香港</w:t>
            </w:r>
          </w:p>
        </w:tc>
        <w:tc>
          <w:tcPr>
            <w:tcW w:w="13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299999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01812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B转H测试</w:t>
            </w:r>
          </w:p>
        </w:tc>
        <w:tc>
          <w:tcPr>
            <w:tcW w:w="6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新增</w:t>
            </w:r>
          </w:p>
        </w:tc>
        <w:tc>
          <w:tcPr>
            <w:tcW w:w="19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国泰君安香港</w:t>
            </w:r>
          </w:p>
        </w:tc>
        <w:tc>
          <w:tcPr>
            <w:tcW w:w="13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仅在易境通平台挂牌</w:t>
            </w:r>
          </w:p>
        </w:tc>
      </w:tr>
    </w:tbl>
    <w:p>
      <w:pPr>
        <w:pStyle w:val="6"/>
        <w:numPr>
          <w:ilvl w:val="0"/>
          <w:numId w:val="4"/>
        </w:numPr>
        <w:spacing w:line="560" w:lineRule="exact"/>
        <w:ind w:firstLine="560" w:firstLineChars="0"/>
        <w:outlineLvl w:val="1"/>
        <w:rPr>
          <w:rFonts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测试数据以2022年8月12日（星期五）收市后的股份数据作为交易的起始数据。对于新增的299999证券，中国结算深圳分公司为2099900000、2099900001在每个有效的B股托管单元新增登记证券299999持仓10,400股。其中400股为碎股（证券299999每手为500股），可用于碎股交易相关测试场景。</w:t>
      </w:r>
    </w:p>
    <w:p>
      <w:pPr>
        <w:pStyle w:val="6"/>
        <w:spacing w:line="560" w:lineRule="exact"/>
        <w:ind w:left="630" w:firstLine="0" w:firstLineChars="0"/>
        <w:rPr>
          <w:rFonts w:ascii="楷体_GB2312" w:eastAsia="楷体_GB2312"/>
          <w:color w:val="000000"/>
          <w:sz w:val="28"/>
          <w:szCs w:val="28"/>
        </w:rPr>
      </w:pPr>
    </w:p>
    <w:bookmarkEnd w:id="0"/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注意事项</w:t>
      </w:r>
    </w:p>
    <w:p>
      <w:pPr>
        <w:numPr>
          <w:ilvl w:val="0"/>
          <w:numId w:val="5"/>
        </w:numPr>
        <w:tabs>
          <w:tab w:val="left" w:pos="840"/>
          <w:tab w:val="left" w:pos="928"/>
          <w:tab w:val="left" w:pos="1050"/>
        </w:tabs>
        <w:spacing w:line="560" w:lineRule="exact"/>
        <w:ind w:left="0" w:firstLine="567" w:firstLineChars="0"/>
        <w:outlineLvl w:val="1"/>
        <w:rPr>
          <w:rFonts w:hint="eastAsia" w:ascii="楷体_GB2312" w:eastAsia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本次测试包括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易境通平台交易通信系统、B转H通信系统</w:t>
      </w:r>
      <w:r>
        <w:rPr>
          <w:rFonts w:hint="eastAsia" w:ascii="楷体_GB2312" w:hAnsi="楷体_GB2312" w:eastAsia="楷体_GB2312" w:cs="楷体_GB2312"/>
          <w:sz w:val="28"/>
          <w:szCs w:val="28"/>
        </w:rPr>
        <w:t>、D-COM系统。</w:t>
      </w:r>
    </w:p>
    <w:p>
      <w:pPr>
        <w:numPr>
          <w:ilvl w:val="0"/>
          <w:numId w:val="5"/>
        </w:numPr>
        <w:tabs>
          <w:tab w:val="left" w:pos="840"/>
          <w:tab w:val="left" w:pos="928"/>
          <w:tab w:val="left" w:pos="1050"/>
        </w:tabs>
        <w:spacing w:line="560" w:lineRule="exact"/>
        <w:ind w:left="0" w:firstLine="567" w:firstLineChars="0"/>
        <w:outlineLvl w:val="1"/>
        <w:rPr>
          <w:rFonts w:hint="eastAsia"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>在易境通平台测试B转H业务需使用易境通交易网关最新的生产版本，版本号为20220629。程序和文档详见深证通官网统一客户专区http://biz.sscc.com下载专区 -&gt; 交易结算业务 -&gt; 易境通平台。</w:t>
      </w:r>
    </w:p>
    <w:p>
      <w:pPr>
        <w:numPr>
          <w:ilvl w:val="0"/>
          <w:numId w:val="5"/>
        </w:numPr>
        <w:tabs>
          <w:tab w:val="left" w:pos="840"/>
          <w:tab w:val="left" w:pos="928"/>
          <w:tab w:val="left" w:pos="1050"/>
        </w:tabs>
        <w:spacing w:line="560" w:lineRule="exact"/>
        <w:ind w:left="0" w:firstLine="567" w:firstLineChars="0"/>
        <w:outlineLvl w:val="1"/>
        <w:rPr>
          <w:rFonts w:hint="eastAsia"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>在B转H通信系统测试B转H业务，</w:t>
      </w:r>
      <w:r>
        <w:rPr>
          <w:rFonts w:hint="eastAsia" w:ascii="楷体_GB2312" w:eastAsia="楷体_GB2312"/>
          <w:color w:val="000000"/>
          <w:sz w:val="28"/>
          <w:szCs w:val="28"/>
        </w:rPr>
        <w:t>使用的</w:t>
      </w: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>B转H</w:t>
      </w:r>
      <w:r>
        <w:rPr>
          <w:rFonts w:hint="eastAsia" w:ascii="楷体_GB2312" w:eastAsia="楷体_GB2312"/>
          <w:color w:val="000000"/>
          <w:sz w:val="28"/>
          <w:szCs w:val="28"/>
        </w:rPr>
        <w:t>交易网关</w:t>
      </w: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>与</w:t>
      </w:r>
      <w:r>
        <w:rPr>
          <w:rFonts w:hint="eastAsia" w:ascii="楷体_GB2312" w:eastAsia="楷体_GB2312"/>
          <w:color w:val="000000"/>
          <w:sz w:val="28"/>
          <w:szCs w:val="28"/>
        </w:rPr>
        <w:t>生产系统保持一致</w:t>
      </w:r>
      <w:r>
        <w:rPr>
          <w:rFonts w:hint="eastAsia" w:ascii="楷体_GB2312" w:eastAsia="楷体_GB2312"/>
          <w:color w:val="000000"/>
          <w:sz w:val="28"/>
          <w:szCs w:val="28"/>
          <w:lang w:eastAsia="zh-CN"/>
        </w:rPr>
        <w:t>。</w:t>
      </w:r>
    </w:p>
    <w:p>
      <w:pPr>
        <w:numPr>
          <w:ilvl w:val="0"/>
          <w:numId w:val="5"/>
        </w:numPr>
        <w:tabs>
          <w:tab w:val="left" w:pos="840"/>
          <w:tab w:val="left" w:pos="928"/>
          <w:tab w:val="left" w:pos="1050"/>
        </w:tabs>
        <w:ind w:left="0" w:firstLine="567"/>
        <w:rPr>
          <w:rFonts w:hint="eastAsia"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>全网</w:t>
      </w:r>
      <w:r>
        <w:rPr>
          <w:rFonts w:hint="eastAsia" w:ascii="楷体_GB2312" w:eastAsia="楷体_GB2312"/>
          <w:color w:val="000000"/>
          <w:sz w:val="28"/>
          <w:szCs w:val="28"/>
        </w:rPr>
        <w:t xml:space="preserve">测试环境接入配置如下： </w:t>
      </w:r>
    </w:p>
    <w:tbl>
      <w:tblPr>
        <w:tblStyle w:val="3"/>
        <w:tblW w:w="93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3719"/>
        <w:gridCol w:w="42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28" w:type="dxa"/>
            <w:shd w:val="clear" w:color="auto" w:fill="BEBEBE" w:themeFill="background1" w:themeFillShade="BF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测试类别</w:t>
            </w:r>
          </w:p>
        </w:tc>
        <w:tc>
          <w:tcPr>
            <w:tcW w:w="3719" w:type="dxa"/>
            <w:shd w:val="clear" w:color="auto" w:fill="BEBEBE" w:themeFill="background1" w:themeFillShade="BF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服务器地址</w:t>
            </w:r>
          </w:p>
        </w:tc>
        <w:tc>
          <w:tcPr>
            <w:tcW w:w="4292" w:type="dxa"/>
            <w:shd w:val="clear" w:color="auto" w:fill="BEBEBE" w:themeFill="background1" w:themeFillShade="BF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备 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328" w:type="dxa"/>
            <w:vMerge w:val="restart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D-COM网关</w:t>
            </w:r>
          </w:p>
        </w:tc>
        <w:tc>
          <w:tcPr>
            <w:tcW w:w="371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172.27.2.168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172.27.130.168</w:t>
            </w:r>
          </w:p>
        </w:tc>
        <w:tc>
          <w:tcPr>
            <w:tcW w:w="4292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通过交易结算网接入地址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328" w:type="dxa"/>
            <w:vMerge w:val="continue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371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172.40.1.150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172.60.1.150</w:t>
            </w:r>
          </w:p>
        </w:tc>
        <w:tc>
          <w:tcPr>
            <w:tcW w:w="4292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通过增值业务网/综合托管网接入地址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328" w:type="dxa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易境通</w:t>
            </w:r>
            <w:r>
              <w:rPr>
                <w:rFonts w:hint="eastAsia" w:ascii="楷体" w:hAnsi="楷体" w:eastAsia="楷体" w:cs="楷体"/>
                <w:szCs w:val="21"/>
              </w:rPr>
              <w:t>交易网关</w:t>
            </w:r>
          </w:p>
        </w:tc>
        <w:tc>
          <w:tcPr>
            <w:tcW w:w="371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172.40.1.170（地面）：7002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172.40.2.170（卫星）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172.60.1.170（地面）：7002</w:t>
            </w:r>
          </w:p>
        </w:tc>
        <w:tc>
          <w:tcPr>
            <w:tcW w:w="4292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境内券商所连地址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328" w:type="dxa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易境通</w:t>
            </w:r>
            <w:r>
              <w:rPr>
                <w:rFonts w:hint="eastAsia" w:ascii="楷体" w:hAnsi="楷体" w:eastAsia="楷体" w:cs="楷体"/>
                <w:szCs w:val="21"/>
              </w:rPr>
              <w:t>交易网关</w:t>
            </w:r>
          </w:p>
        </w:tc>
        <w:tc>
          <w:tcPr>
            <w:tcW w:w="371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172.40.1.180（地面）：7002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172.60.1.180（地面）：7002</w:t>
            </w:r>
          </w:p>
        </w:tc>
        <w:tc>
          <w:tcPr>
            <w:tcW w:w="4292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境外券商所连地址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328" w:type="dxa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B转H网关</w:t>
            </w:r>
          </w:p>
        </w:tc>
        <w:tc>
          <w:tcPr>
            <w:tcW w:w="371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172.60.1.141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172.40.1.141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172.40.2.141（双向卫星接入地址）</w:t>
            </w:r>
          </w:p>
        </w:tc>
        <w:tc>
          <w:tcPr>
            <w:tcW w:w="4292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B转H通信系统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328" w:type="dxa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行情网关</w:t>
            </w:r>
          </w:p>
        </w:tc>
        <w:tc>
          <w:tcPr>
            <w:tcW w:w="371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单向卫星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172.40.1.120（地面）：7048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172.60.1.120（地面）：7048</w:t>
            </w:r>
          </w:p>
        </w:tc>
        <w:tc>
          <w:tcPr>
            <w:tcW w:w="4292" w:type="dxa"/>
            <w:noWrap w:val="0"/>
            <w:vAlign w:val="center"/>
          </w:tcPr>
          <w:p>
            <w:pPr>
              <w:widowControl/>
              <w:shd w:val="clear" w:color="auto" w:fill="FFFFFF"/>
              <w:spacing w:line="350" w:lineRule="atLeast"/>
              <w:jc w:val="lef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tabs>
          <w:tab w:val="left" w:pos="840"/>
          <w:tab w:val="left" w:pos="928"/>
          <w:tab w:val="left" w:pos="1050"/>
        </w:tabs>
        <w:spacing w:line="560" w:lineRule="exact"/>
        <w:jc w:val="both"/>
        <w:rPr>
          <w:rFonts w:ascii="楷体_GB2312" w:eastAsia="楷体_GB2312"/>
          <w:color w:val="000000"/>
          <w:sz w:val="28"/>
          <w:szCs w:val="28"/>
        </w:rPr>
      </w:pPr>
    </w:p>
    <w:p>
      <w:pPr>
        <w:numPr>
          <w:ilvl w:val="0"/>
          <w:numId w:val="5"/>
        </w:numPr>
        <w:tabs>
          <w:tab w:val="left" w:pos="840"/>
          <w:tab w:val="left" w:pos="928"/>
          <w:tab w:val="left" w:pos="1050"/>
        </w:tabs>
        <w:ind w:left="0" w:firstLine="567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请各参测单位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根据自身技术系统情况，制定详尽的测试计划和操作流程。测试前</w:t>
      </w:r>
      <w:r>
        <w:rPr>
          <w:rFonts w:hint="eastAsia" w:ascii="楷体_GB2312" w:hAnsi="楷体_GB2312" w:eastAsia="楷体_GB2312" w:cs="楷体_GB2312"/>
          <w:sz w:val="28"/>
          <w:szCs w:val="28"/>
        </w:rPr>
        <w:t>先做好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线上系统和数据环境的保护工作</w:t>
      </w:r>
      <w:r>
        <w:rPr>
          <w:rFonts w:hint="eastAsia" w:ascii="楷体_GB2312" w:hAnsi="楷体_GB2312" w:eastAsia="楷体_GB2312" w:cs="楷体_GB2312"/>
          <w:sz w:val="28"/>
          <w:szCs w:val="28"/>
        </w:rPr>
        <w:t>，再准备2022年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sz w:val="28"/>
          <w:szCs w:val="28"/>
        </w:rPr>
        <w:t>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13</w:t>
      </w:r>
      <w:r>
        <w:rPr>
          <w:rFonts w:hint="eastAsia" w:ascii="楷体_GB2312" w:hAnsi="楷体_GB2312" w:eastAsia="楷体_GB2312" w:cs="楷体_GB2312"/>
          <w:sz w:val="28"/>
          <w:szCs w:val="28"/>
        </w:rPr>
        <w:t>日测试相关数据。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测试完成后做好线上系统和数据环境的恢复工作，确保下一交易日（2022年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月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en-US" w:eastAsia="zh-CN"/>
        </w:rPr>
        <w:t>15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日）生产系统的正确运行。</w:t>
      </w:r>
    </w:p>
    <w:p>
      <w:pPr>
        <w:numPr>
          <w:ilvl w:val="0"/>
          <w:numId w:val="5"/>
        </w:numPr>
        <w:tabs>
          <w:tab w:val="left" w:pos="840"/>
          <w:tab w:val="left" w:pos="928"/>
          <w:tab w:val="left" w:pos="1050"/>
        </w:tabs>
        <w:ind w:left="0" w:firstLine="567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本次测试的数据仅为模拟测试数据，与实际业务无任何关系，不能作为生产环境任何交易、非交易、账户等业务的依据。</w:t>
      </w:r>
    </w:p>
    <w:p>
      <w:pPr>
        <w:numPr>
          <w:ilvl w:val="255"/>
          <w:numId w:val="0"/>
        </w:numPr>
        <w:tabs>
          <w:tab w:val="left" w:pos="840"/>
          <w:tab w:val="left" w:pos="928"/>
          <w:tab w:val="left" w:pos="1050"/>
        </w:tabs>
        <w:ind w:left="567"/>
        <w:rPr>
          <w:rFonts w:ascii="楷体_GB2312" w:hAnsi="楷体_GB2312" w:eastAsia="楷体_GB2312" w:cs="楷体_GB2312"/>
          <w:sz w:val="28"/>
          <w:szCs w:val="28"/>
        </w:rPr>
      </w:pPr>
    </w:p>
    <w:p>
      <w:pPr>
        <w:numPr>
          <w:ilvl w:val="0"/>
          <w:numId w:val="1"/>
        </w:numPr>
        <w:ind w:left="0" w:firstLine="0"/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测试要求</w:t>
      </w:r>
    </w:p>
    <w:p>
      <w:pPr>
        <w:numPr>
          <w:ilvl w:val="0"/>
          <w:numId w:val="6"/>
        </w:numPr>
        <w:tabs>
          <w:tab w:val="left" w:pos="840"/>
          <w:tab w:val="left" w:pos="928"/>
          <w:tab w:val="left" w:pos="1050"/>
        </w:tabs>
        <w:ind w:left="0" w:firstLine="567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请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B转H</w:t>
      </w:r>
      <w:r>
        <w:rPr>
          <w:rFonts w:hint="eastAsia" w:ascii="楷体_GB2312" w:hAnsi="楷体_GB2312" w:eastAsia="楷体_GB2312" w:cs="楷体_GB2312"/>
          <w:sz w:val="28"/>
          <w:szCs w:val="28"/>
        </w:rPr>
        <w:t>境内证券公司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在并行期结束前抓紧提交易境通平台B转H业务申请，</w:t>
      </w:r>
      <w:r>
        <w:rPr>
          <w:rFonts w:hint="eastAsia" w:ascii="楷体_GB2312" w:hAnsi="楷体_GB2312" w:eastAsia="楷体_GB2312" w:cs="楷体_GB2312"/>
          <w:sz w:val="28"/>
          <w:szCs w:val="28"/>
        </w:rPr>
        <w:t>联系biz@sscc.com办理合同签署，网关新建、开通或变更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28"/>
          <w:szCs w:val="28"/>
        </w:rPr>
        <w:t>已有易境通交易网关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28"/>
          <w:szCs w:val="28"/>
        </w:rPr>
        <w:t>业务。</w:t>
      </w:r>
    </w:p>
    <w:p>
      <w:pPr>
        <w:numPr>
          <w:ilvl w:val="0"/>
          <w:numId w:val="6"/>
        </w:numPr>
        <w:tabs>
          <w:tab w:val="left" w:pos="840"/>
          <w:tab w:val="left" w:pos="928"/>
          <w:tab w:val="left" w:pos="1050"/>
        </w:tabs>
        <w:ind w:left="0" w:firstLine="567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在测试过程中，请各参测单位详细记载测试现象与结果，检查其正确性。如发现异常现象，请及时报告。</w:t>
      </w:r>
    </w:p>
    <w:p>
      <w:pPr>
        <w:numPr>
          <w:ilvl w:val="0"/>
          <w:numId w:val="6"/>
        </w:numPr>
        <w:tabs>
          <w:tab w:val="left" w:pos="840"/>
          <w:tab w:val="left" w:pos="928"/>
          <w:tab w:val="left" w:pos="1050"/>
        </w:tabs>
        <w:ind w:left="0" w:firstLine="567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测试完成后，各参测单位应在2022年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sz w:val="28"/>
          <w:szCs w:val="28"/>
        </w:rPr>
        <w:t>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15</w:t>
      </w:r>
      <w:r>
        <w:rPr>
          <w:rFonts w:hint="eastAsia" w:ascii="楷体_GB2312" w:hAnsi="楷体_GB2312" w:eastAsia="楷体_GB2312" w:cs="楷体_GB2312"/>
          <w:sz w:val="28"/>
          <w:szCs w:val="28"/>
        </w:rPr>
        <w:t>日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10</w:t>
      </w:r>
      <w:r>
        <w:rPr>
          <w:rFonts w:hint="eastAsia" w:ascii="楷体_GB2312" w:hAnsi="楷体_GB2312" w:eastAsia="楷体_GB2312" w:cs="楷体_GB2312"/>
          <w:sz w:val="28"/>
          <w:szCs w:val="28"/>
        </w:rPr>
        <w:t>: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0</w:t>
      </w:r>
      <w:r>
        <w:rPr>
          <w:rFonts w:hint="eastAsia" w:ascii="楷体_GB2312" w:hAnsi="楷体_GB2312" w:eastAsia="楷体_GB2312" w:cs="楷体_GB2312"/>
          <w:sz w:val="28"/>
          <w:szCs w:val="28"/>
        </w:rPr>
        <w:t>0前提交测试反馈表（见附件1）</w:t>
      </w:r>
      <w:r>
        <w:rPr>
          <w:rFonts w:hint="eastAsia"/>
          <w:sz w:val="28"/>
          <w:szCs w:val="28"/>
          <w:lang w:val="en-US" w:eastAsia="zh-CN"/>
        </w:rPr>
        <w:t>至cctest@sscc.com</w:t>
      </w:r>
      <w:r>
        <w:rPr>
          <w:rFonts w:hint="eastAsia" w:ascii="楷体_GB2312" w:hAnsi="楷体_GB2312" w:eastAsia="楷体_GB2312" w:cs="楷体_GB2312"/>
          <w:sz w:val="28"/>
          <w:szCs w:val="28"/>
        </w:rPr>
        <w:t>。</w:t>
      </w:r>
    </w:p>
    <w:p/>
    <w:p/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联系</w:t>
      </w:r>
      <w:r>
        <w:rPr>
          <w:rFonts w:hint="eastAsia" w:ascii="楷体_GB2312" w:hAnsi="楷体_GB2312" w:eastAsia="楷体_GB2312" w:cs="楷体_GB2312"/>
          <w:b/>
          <w:sz w:val="28"/>
          <w:szCs w:val="28"/>
          <w:lang w:val="en-US" w:eastAsia="zh-CN"/>
        </w:rPr>
        <w:t>方式</w:t>
      </w:r>
    </w:p>
    <w:p>
      <w:pPr>
        <w:widowControl/>
        <w:spacing w:line="360" w:lineRule="atLeast"/>
        <w:ind w:firstLine="560" w:firstLineChars="20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测试QQ群：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207424303</w:t>
      </w:r>
    </w:p>
    <w:p>
      <w:pPr>
        <w:widowControl/>
        <w:spacing w:line="360" w:lineRule="atLeast"/>
        <w:ind w:firstLine="560" w:firstLineChars="20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测试技术支持</w:t>
      </w:r>
      <w:r>
        <w:rPr>
          <w:rFonts w:hint="eastAsia" w:ascii="楷体_GB2312" w:hAnsi="楷体_GB2312" w:eastAsia="楷体_GB2312" w:cs="楷体_GB2312"/>
          <w:sz w:val="28"/>
          <w:szCs w:val="28"/>
        </w:rPr>
        <w:t>电话：</w:t>
      </w:r>
    </w:p>
    <w:p>
      <w:pPr>
        <w:widowControl/>
        <w:spacing w:line="360" w:lineRule="atLeast"/>
        <w:ind w:firstLine="1120" w:firstLineChars="400"/>
        <w:jc w:val="left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0755-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83182222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深证通技术咨询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）</w:t>
      </w:r>
    </w:p>
    <w:p>
      <w:pPr>
        <w:widowControl/>
        <w:spacing w:line="360" w:lineRule="atLeast"/>
        <w:ind w:firstLine="1120" w:firstLineChars="400"/>
        <w:jc w:val="left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0755-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88666464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测试当日技术支持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）</w:t>
      </w:r>
    </w:p>
    <w:p>
      <w:pPr>
        <w:widowControl/>
        <w:spacing w:line="360" w:lineRule="atLeast"/>
        <w:ind w:firstLine="0" w:firstLineChars="0"/>
        <w:jc w:val="left"/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 xml:space="preserve">    业务咨询电话：0755-88665500</w:t>
      </w:r>
    </w:p>
    <w:p>
      <w:pPr>
        <w:widowControl/>
        <w:spacing w:line="360" w:lineRule="atLeast"/>
        <w:ind w:firstLine="1120" w:firstLineChars="40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</w:p>
    <w:p>
      <w:pPr>
        <w:widowControl/>
        <w:spacing w:line="360" w:lineRule="atLeast"/>
        <w:ind w:firstLine="360"/>
        <w:jc w:val="right"/>
        <w:rPr>
          <w:rFonts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深圳证券通信有限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公司</w:t>
      </w:r>
    </w:p>
    <w:p>
      <w:pPr>
        <w:widowControl/>
        <w:spacing w:line="360" w:lineRule="atLeast"/>
        <w:ind w:firstLine="360"/>
        <w:jc w:val="right"/>
        <w:rPr>
          <w:rFonts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2022年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月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10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日</w:t>
      </w:r>
    </w:p>
    <w:p>
      <w:pPr>
        <w:pStyle w:val="2"/>
        <w:spacing w:after="156"/>
        <w:rPr>
          <w:rFonts w:ascii="楷体_GB2312" w:hAnsi="楷体_GB2312" w:cs="楷体_GB2312"/>
          <w:b/>
          <w:color w:val="000000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spacing w:after="156"/>
        <w:rPr>
          <w:rFonts w:ascii="楷体_GB2312" w:hAnsi="楷体_GB2312" w:cs="楷体_GB2312"/>
          <w:b/>
          <w:color w:val="000000"/>
          <w:szCs w:val="28"/>
        </w:rPr>
      </w:pPr>
      <w:r>
        <w:rPr>
          <w:rFonts w:hint="eastAsia" w:ascii="楷体_GB2312" w:hAnsi="楷体_GB2312" w:cs="楷体_GB2312"/>
          <w:b/>
          <w:color w:val="000000"/>
          <w:szCs w:val="28"/>
        </w:rPr>
        <w:t>附件</w:t>
      </w:r>
      <w:r>
        <w:rPr>
          <w:rFonts w:ascii="楷体_GB2312" w:hAnsi="楷体_GB2312" w:cs="楷体_GB2312"/>
          <w:b/>
          <w:color w:val="000000"/>
          <w:szCs w:val="28"/>
        </w:rPr>
        <w:t>1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firstLine="0" w:firstLineChars="0"/>
        <w:jc w:val="center"/>
        <w:textAlignment w:val="auto"/>
        <w:outlineLvl w:val="0"/>
        <w:rPr>
          <w:rFonts w:hint="eastAsia" w:ascii="楷体_GB2312" w:eastAsia="楷体_GB2312"/>
          <w:b/>
          <w:sz w:val="30"/>
          <w:szCs w:val="30"/>
          <w:lang w:val="en-US" w:eastAsia="zh-CN"/>
        </w:rPr>
      </w:pPr>
      <w:r>
        <w:rPr>
          <w:rFonts w:hint="eastAsia" w:ascii="楷体_GB2312" w:eastAsia="楷体_GB2312"/>
          <w:b/>
          <w:sz w:val="30"/>
          <w:szCs w:val="30"/>
          <w:lang w:val="en-US" w:eastAsia="zh-CN"/>
        </w:rPr>
        <w:t>B转H业务迁入易境通平台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firstLine="0" w:firstLineChars="0"/>
        <w:jc w:val="center"/>
        <w:textAlignment w:val="auto"/>
        <w:outlineLvl w:val="0"/>
        <w:rPr>
          <w:rFonts w:hint="eastAsia" w:ascii="楷体_GB2312" w:eastAsia="楷体_GB2312"/>
          <w:b/>
          <w:sz w:val="30"/>
          <w:szCs w:val="30"/>
          <w:lang w:eastAsia="zh-CN"/>
        </w:rPr>
      </w:pPr>
      <w:r>
        <w:rPr>
          <w:rFonts w:hint="eastAsia" w:ascii="楷体_GB2312" w:eastAsia="楷体_GB2312"/>
          <w:b/>
          <w:sz w:val="30"/>
          <w:szCs w:val="30"/>
          <w:lang w:val="en-US" w:eastAsia="zh-CN"/>
        </w:rPr>
        <w:t>2022年8月13日全网测试</w:t>
      </w:r>
      <w:r>
        <w:rPr>
          <w:rFonts w:hint="eastAsia" w:ascii="楷体_GB2312" w:eastAsia="楷体_GB2312"/>
          <w:b/>
          <w:sz w:val="30"/>
          <w:szCs w:val="30"/>
        </w:rPr>
        <w:t>反馈表</w:t>
      </w:r>
      <w:r>
        <w:rPr>
          <w:rFonts w:hint="eastAsia" w:ascii="楷体_GB2312" w:eastAsia="楷体_GB2312"/>
          <w:b/>
          <w:sz w:val="30"/>
          <w:szCs w:val="30"/>
          <w:lang w:eastAsia="zh-CN"/>
        </w:rPr>
        <w:t>（</w:t>
      </w:r>
      <w:r>
        <w:rPr>
          <w:rFonts w:hint="eastAsia" w:ascii="楷体_GB2312" w:eastAsia="楷体_GB2312"/>
          <w:b/>
          <w:sz w:val="30"/>
          <w:szCs w:val="30"/>
          <w:lang w:val="en-US" w:eastAsia="zh-CN"/>
        </w:rPr>
        <w:t>境内券商</w:t>
      </w:r>
      <w:r>
        <w:rPr>
          <w:rFonts w:hint="eastAsia" w:ascii="楷体_GB2312" w:eastAsia="楷体_GB2312"/>
          <w:b/>
          <w:sz w:val="30"/>
          <w:szCs w:val="30"/>
          <w:lang w:eastAsia="zh-CN"/>
        </w:rPr>
        <w:t>）</w:t>
      </w:r>
    </w:p>
    <w:tbl>
      <w:tblPr>
        <w:tblStyle w:val="3"/>
        <w:tblW w:w="8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7"/>
        <w:gridCol w:w="2789"/>
        <w:gridCol w:w="1182"/>
        <w:gridCol w:w="1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69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参测公司名称</w:t>
            </w:r>
          </w:p>
        </w:tc>
        <w:tc>
          <w:tcPr>
            <w:tcW w:w="5618" w:type="dxa"/>
            <w:gridSpan w:val="3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69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参测交易单元号</w:t>
            </w:r>
          </w:p>
        </w:tc>
        <w:tc>
          <w:tcPr>
            <w:tcW w:w="5618" w:type="dxa"/>
            <w:gridSpan w:val="3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69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软件系统开发商</w:t>
            </w:r>
          </w:p>
        </w:tc>
        <w:tc>
          <w:tcPr>
            <w:tcW w:w="5618" w:type="dxa"/>
            <w:gridSpan w:val="3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69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易境通交易网关接口类型</w:t>
            </w:r>
          </w:p>
        </w:tc>
        <w:tc>
          <w:tcPr>
            <w:tcW w:w="5618" w:type="dxa"/>
            <w:gridSpan w:val="3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440" w:firstLineChars="200"/>
              <w:textAlignment w:val="auto"/>
              <w:rPr>
                <w:rFonts w:hint="eastAsia" w:ascii="楷体_GB2312" w:eastAsia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b w:val="0"/>
                <w:bCs w:val="0"/>
                <w:sz w:val="22"/>
                <w:szCs w:val="21"/>
                <w:lang w:val="en-US" w:eastAsia="zh-CN"/>
              </w:rPr>
              <w:t xml:space="preserve">DBF  </w:t>
            </w:r>
            <w:r>
              <w:rPr>
                <w:rFonts w:hint="eastAsia" w:ascii="楷体" w:hAnsi="楷体" w:eastAsia="楷体"/>
                <w:b w:val="0"/>
                <w:bCs w:val="0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b w:val="0"/>
                <w:bCs w:val="0"/>
                <w:sz w:val="22"/>
                <w:szCs w:val="21"/>
                <w:lang w:val="en-US" w:eastAsia="zh-CN"/>
              </w:rPr>
              <w:t>STEP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9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联系人</w:t>
            </w:r>
          </w:p>
        </w:tc>
        <w:tc>
          <w:tcPr>
            <w:tcW w:w="2789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  <w:tc>
          <w:tcPr>
            <w:tcW w:w="1182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联系电话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69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Email地址</w:t>
            </w:r>
          </w:p>
        </w:tc>
        <w:tc>
          <w:tcPr>
            <w:tcW w:w="5618" w:type="dxa"/>
            <w:gridSpan w:val="3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315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请填写以下各功能点测试结果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功能点</w:t>
            </w:r>
          </w:p>
        </w:tc>
        <w:tc>
          <w:tcPr>
            <w:tcW w:w="2829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 w:firstLineChars="200"/>
              <w:jc w:val="center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测试结果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中集(299901)，易境通平台：</w:t>
            </w:r>
            <w:r>
              <w:rPr>
                <w:rFonts w:hint="eastAsia" w:ascii="楷体_GB2312" w:eastAsia="楷体_GB2312"/>
                <w:sz w:val="22"/>
                <w:szCs w:val="28"/>
              </w:rPr>
              <w:t>交易卖出</w:t>
            </w: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sz w:val="22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中集(299901)，易境通平台：交易撤单成功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中集(299901)，易境通平台：转托管成功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中集(299901)，易境通平台：转托管撤单成功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486" w:type="dxa"/>
            <w:gridSpan w:val="2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</w:p>
        </w:tc>
        <w:tc>
          <w:tcPr>
            <w:tcW w:w="2829" w:type="dxa"/>
            <w:gridSpan w:val="2"/>
            <w:shd w:val="clear" w:color="auto" w:fill="BEBEBE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丽珠(299902)，易境通平台：</w:t>
            </w:r>
            <w:r>
              <w:rPr>
                <w:rFonts w:hint="eastAsia" w:ascii="楷体_GB2312" w:eastAsia="楷体_GB2312"/>
                <w:sz w:val="22"/>
                <w:szCs w:val="28"/>
              </w:rPr>
              <w:t>交易卖出</w:t>
            </w: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丽珠(299902)，易境通：交易撤单成功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丽珠(299902)，易境通平台：转托管成功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丽珠(299902)，易境通平台：转托管撤单成功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86" w:type="dxa"/>
            <w:gridSpan w:val="2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</w:p>
        </w:tc>
        <w:tc>
          <w:tcPr>
            <w:tcW w:w="2829" w:type="dxa"/>
            <w:gridSpan w:val="2"/>
            <w:shd w:val="clear" w:color="auto" w:fill="BEBEBE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万科(299903)，易境通平台：</w:t>
            </w:r>
            <w:r>
              <w:rPr>
                <w:rFonts w:hint="eastAsia" w:ascii="楷体_GB2312" w:eastAsia="楷体_GB2312"/>
                <w:sz w:val="22"/>
                <w:szCs w:val="28"/>
              </w:rPr>
              <w:t>交易卖出</w:t>
            </w: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万科(299903)，易境通平台：交易撤单成功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万科(299903)，易境通平台：转托管成功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万科(299903)，易境通平台：转托管撤单成功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5486" w:type="dxa"/>
            <w:gridSpan w:val="2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</w:p>
        </w:tc>
        <w:tc>
          <w:tcPr>
            <w:tcW w:w="2829" w:type="dxa"/>
            <w:gridSpan w:val="2"/>
            <w:shd w:val="clear" w:color="auto" w:fill="BEBEBE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测试(299999)，易境通平台：</w:t>
            </w:r>
            <w:r>
              <w:rPr>
                <w:rFonts w:hint="eastAsia" w:ascii="楷体_GB2312" w:eastAsia="楷体_GB2312"/>
                <w:sz w:val="22"/>
                <w:szCs w:val="28"/>
              </w:rPr>
              <w:t>交易卖出</w:t>
            </w: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测试(299999)，易境通平台：交易撤单成功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测试(299999)，易境通平台：转托管成功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测试(299999)，易境通平台：转托管撤单成功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hAnsi="Times New Roman" w:eastAsia="楷体_GB2312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FF0000"/>
                <w:sz w:val="22"/>
                <w:szCs w:val="28"/>
                <w:lang w:val="en-US" w:eastAsia="zh-CN"/>
              </w:rPr>
              <w:t>（重点测试）测试(299999)，易境通平台：交易卖空，成功收到一笔“股东卖空”撤单回报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hAnsi="Times New Roman" w:eastAsia="楷体_GB2312" w:cs="Times New Roman"/>
                <w:color w:val="FF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FF0000"/>
                <w:sz w:val="22"/>
                <w:szCs w:val="28"/>
                <w:lang w:val="en-US" w:eastAsia="zh-CN"/>
              </w:rPr>
              <w:t>（重点测试）测试(299999)，易境通平台：重复合同序号的交易订单卖出，不会导致重复扣除可售股数额度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hAnsi="Times New Roman" w:eastAsia="楷体_GB2312" w:cs="Times New Roman"/>
                <w:color w:val="FF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FF0000"/>
                <w:sz w:val="22"/>
                <w:szCs w:val="28"/>
                <w:lang w:val="en-US" w:eastAsia="zh-CN"/>
              </w:rPr>
              <w:t>（重点测试）测试(299999)，易境通平台：交易碎股没有一次性卖出，成功收到一笔“数量非法”撤单回报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5486" w:type="dxa"/>
            <w:gridSpan w:val="2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</w:p>
        </w:tc>
        <w:tc>
          <w:tcPr>
            <w:tcW w:w="2829" w:type="dxa"/>
            <w:gridSpan w:val="2"/>
            <w:shd w:val="clear" w:color="auto" w:fill="BEBEBE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  <w:jc w:val="center"/>
        </w:trPr>
        <w:tc>
          <w:tcPr>
            <w:tcW w:w="8315" w:type="dxa"/>
            <w:gridSpan w:val="4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异常说明：（不超过500汉字）</w:t>
            </w:r>
          </w:p>
        </w:tc>
      </w:tr>
    </w:tbl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900" w:firstLine="0" w:firstLineChars="0"/>
        <w:textAlignment w:val="auto"/>
      </w:pP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900" w:firstLine="0" w:firstLineChars="0"/>
        <w:textAlignment w:val="auto"/>
      </w:pP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900" w:firstLine="0" w:firstLineChars="0"/>
        <w:textAlignment w:val="auto"/>
      </w:pP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900" w:firstLine="0" w:firstLineChars="0"/>
        <w:textAlignment w:val="auto"/>
      </w:pP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900" w:firstLine="0" w:firstLineChars="0"/>
        <w:textAlignment w:val="auto"/>
      </w:pP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900" w:firstLine="0" w:firstLineChars="0"/>
        <w:textAlignment w:val="auto"/>
      </w:pP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900" w:firstLine="0" w:firstLineChars="0"/>
        <w:textAlignment w:val="auto"/>
      </w:pP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900" w:firstLine="0" w:firstLineChars="0"/>
        <w:textAlignment w:val="auto"/>
      </w:pP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900" w:firstLine="0" w:firstLineChars="0"/>
        <w:textAlignment w:val="auto"/>
      </w:pP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firstLine="0" w:firstLineChars="0"/>
        <w:jc w:val="center"/>
        <w:textAlignment w:val="auto"/>
        <w:outlineLvl w:val="0"/>
        <w:rPr>
          <w:rFonts w:hint="eastAsia" w:ascii="楷体_GB2312" w:eastAsia="楷体_GB2312"/>
          <w:b/>
          <w:sz w:val="30"/>
          <w:szCs w:val="30"/>
          <w:lang w:val="en-US" w:eastAsia="zh-CN"/>
        </w:rPr>
      </w:pPr>
      <w:r>
        <w:rPr>
          <w:rFonts w:hint="eastAsia" w:ascii="楷体_GB2312" w:eastAsia="楷体_GB2312"/>
          <w:b/>
          <w:sz w:val="30"/>
          <w:szCs w:val="30"/>
          <w:lang w:val="en-US" w:eastAsia="zh-CN"/>
        </w:rPr>
        <w:t>B转H业务迁入易境通平台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firstLine="0" w:firstLineChars="0"/>
        <w:jc w:val="center"/>
        <w:textAlignment w:val="auto"/>
        <w:outlineLvl w:val="0"/>
        <w:rPr>
          <w:rFonts w:hint="eastAsia" w:ascii="楷体_GB2312" w:eastAsia="楷体_GB2312"/>
          <w:b/>
          <w:sz w:val="30"/>
          <w:szCs w:val="30"/>
          <w:lang w:eastAsia="zh-CN"/>
        </w:rPr>
      </w:pPr>
      <w:r>
        <w:rPr>
          <w:rFonts w:hint="eastAsia" w:ascii="楷体_GB2312" w:eastAsia="楷体_GB2312"/>
          <w:b/>
          <w:sz w:val="30"/>
          <w:szCs w:val="30"/>
          <w:lang w:val="en-US" w:eastAsia="zh-CN"/>
        </w:rPr>
        <w:t>2022年8月13日全网测试</w:t>
      </w:r>
      <w:r>
        <w:rPr>
          <w:rFonts w:hint="eastAsia" w:ascii="楷体_GB2312" w:eastAsia="楷体_GB2312"/>
          <w:b/>
          <w:sz w:val="30"/>
          <w:szCs w:val="30"/>
        </w:rPr>
        <w:t>反馈表</w:t>
      </w:r>
      <w:r>
        <w:rPr>
          <w:rFonts w:hint="eastAsia" w:ascii="楷体_GB2312" w:eastAsia="楷体_GB2312"/>
          <w:b/>
          <w:sz w:val="30"/>
          <w:szCs w:val="30"/>
          <w:lang w:eastAsia="zh-CN"/>
        </w:rPr>
        <w:t>（</w:t>
      </w:r>
      <w:r>
        <w:rPr>
          <w:rFonts w:hint="eastAsia" w:ascii="楷体_GB2312" w:eastAsia="楷体_GB2312"/>
          <w:b/>
          <w:sz w:val="30"/>
          <w:szCs w:val="30"/>
          <w:lang w:val="en-US" w:eastAsia="zh-CN"/>
        </w:rPr>
        <w:t>境外代理券商</w:t>
      </w:r>
      <w:r>
        <w:rPr>
          <w:rFonts w:hint="eastAsia" w:ascii="楷体_GB2312" w:eastAsia="楷体_GB2312"/>
          <w:b/>
          <w:sz w:val="30"/>
          <w:szCs w:val="30"/>
          <w:lang w:eastAsia="zh-CN"/>
        </w:rPr>
        <w:t>）</w:t>
      </w:r>
    </w:p>
    <w:tbl>
      <w:tblPr>
        <w:tblStyle w:val="3"/>
        <w:tblW w:w="8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7"/>
        <w:gridCol w:w="1963"/>
        <w:gridCol w:w="3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69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参测公司名称</w:t>
            </w:r>
          </w:p>
        </w:tc>
        <w:tc>
          <w:tcPr>
            <w:tcW w:w="5618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69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易境通交易网关接口类型</w:t>
            </w:r>
          </w:p>
        </w:tc>
        <w:tc>
          <w:tcPr>
            <w:tcW w:w="5618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440" w:firstLineChars="200"/>
              <w:textAlignment w:val="auto"/>
              <w:rPr>
                <w:rFonts w:hint="eastAsia" w:ascii="楷体_GB2312" w:eastAsia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b w:val="0"/>
                <w:bCs w:val="0"/>
                <w:sz w:val="22"/>
                <w:szCs w:val="21"/>
                <w:lang w:val="en-US" w:eastAsia="zh-CN"/>
              </w:rPr>
              <w:t xml:space="preserve">DBF  </w:t>
            </w:r>
            <w:r>
              <w:rPr>
                <w:rFonts w:hint="eastAsia" w:ascii="楷体" w:hAnsi="楷体" w:eastAsia="楷体"/>
                <w:b w:val="0"/>
                <w:bCs w:val="0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b w:val="0"/>
                <w:bCs w:val="0"/>
                <w:sz w:val="22"/>
                <w:szCs w:val="21"/>
                <w:lang w:val="en-US" w:eastAsia="zh-CN"/>
              </w:rPr>
              <w:t>STEP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315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请填写以下各功能点测试结果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60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功能点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/>
              <w:jc w:val="center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测试结果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60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易境通平台：处理</w:t>
            </w:r>
            <w:r>
              <w:rPr>
                <w:rFonts w:hint="eastAsia" w:ascii="楷体_GB2312" w:eastAsia="楷体_GB2312"/>
                <w:sz w:val="22"/>
                <w:szCs w:val="28"/>
              </w:rPr>
              <w:t>交易卖出</w:t>
            </w: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委托</w:t>
            </w:r>
          </w:p>
        </w:tc>
        <w:tc>
          <w:tcPr>
            <w:tcW w:w="3655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sz w:val="22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60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易境通平台：处理交易撤单委托</w:t>
            </w:r>
          </w:p>
        </w:tc>
        <w:tc>
          <w:tcPr>
            <w:tcW w:w="3655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60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易境通平台：处理转托管委托</w:t>
            </w:r>
          </w:p>
        </w:tc>
        <w:tc>
          <w:tcPr>
            <w:tcW w:w="3655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default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>无此业务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60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易境通平台：处理转托管撤单委托</w:t>
            </w:r>
          </w:p>
        </w:tc>
        <w:tc>
          <w:tcPr>
            <w:tcW w:w="3655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>无此业务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60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B转H通信系统：处理</w:t>
            </w:r>
            <w:r>
              <w:rPr>
                <w:rFonts w:hint="eastAsia" w:ascii="楷体_GB2312" w:eastAsia="楷体_GB2312"/>
                <w:sz w:val="22"/>
                <w:szCs w:val="28"/>
              </w:rPr>
              <w:t>交易卖出</w:t>
            </w: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委托</w:t>
            </w:r>
          </w:p>
        </w:tc>
        <w:tc>
          <w:tcPr>
            <w:tcW w:w="3655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60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B转H通信系统：处理交易撤单委托</w:t>
            </w:r>
          </w:p>
        </w:tc>
        <w:tc>
          <w:tcPr>
            <w:tcW w:w="3655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60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B转H通信系统：处理转托管委托</w:t>
            </w:r>
          </w:p>
        </w:tc>
        <w:tc>
          <w:tcPr>
            <w:tcW w:w="3655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>无此业务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60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B转H通信系统：处理转托管撤单委托</w:t>
            </w:r>
          </w:p>
        </w:tc>
        <w:tc>
          <w:tcPr>
            <w:tcW w:w="3655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>无此业务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60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执行股份前端监控</w:t>
            </w:r>
          </w:p>
        </w:tc>
        <w:tc>
          <w:tcPr>
            <w:tcW w:w="3655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>无此业务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60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根据委托传输通道原路返回回报</w:t>
            </w:r>
          </w:p>
        </w:tc>
        <w:tc>
          <w:tcPr>
            <w:tcW w:w="3655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  <w:jc w:val="center"/>
        </w:trPr>
        <w:tc>
          <w:tcPr>
            <w:tcW w:w="8315" w:type="dxa"/>
            <w:gridSpan w:val="3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异常说明：（不超过500汉字）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9D18F2"/>
    <w:multiLevelType w:val="multilevel"/>
    <w:tmpl w:val="DC9D18F2"/>
    <w:lvl w:ilvl="0" w:tentative="0">
      <w:start w:val="1"/>
      <w:numFmt w:val="decimal"/>
      <w:lvlText w:val="%1."/>
      <w:lvlJc w:val="left"/>
      <w:pPr>
        <w:tabs>
          <w:tab w:val="left" w:pos="1003"/>
        </w:tabs>
        <w:ind w:left="1003" w:hanging="720"/>
      </w:pPr>
    </w:lvl>
    <w:lvl w:ilvl="1" w:tentative="0">
      <w:start w:val="1"/>
      <w:numFmt w:val="decimal"/>
      <w:lvlText w:val="%2."/>
      <w:lvlJc w:val="left"/>
      <w:pPr>
        <w:tabs>
          <w:tab w:val="left" w:pos="1723"/>
        </w:tabs>
        <w:ind w:left="1723" w:hanging="720"/>
      </w:pPr>
    </w:lvl>
    <w:lvl w:ilvl="2" w:tentative="0">
      <w:start w:val="1"/>
      <w:numFmt w:val="decimal"/>
      <w:lvlText w:val="%3."/>
      <w:lvlJc w:val="left"/>
      <w:pPr>
        <w:tabs>
          <w:tab w:val="left" w:pos="2443"/>
        </w:tabs>
        <w:ind w:left="2443" w:hanging="720"/>
      </w:pPr>
    </w:lvl>
    <w:lvl w:ilvl="3" w:tentative="0">
      <w:start w:val="1"/>
      <w:numFmt w:val="decimal"/>
      <w:lvlText w:val="%4."/>
      <w:lvlJc w:val="left"/>
      <w:pPr>
        <w:tabs>
          <w:tab w:val="left" w:pos="3163"/>
        </w:tabs>
        <w:ind w:left="3163" w:hanging="720"/>
      </w:pPr>
    </w:lvl>
    <w:lvl w:ilvl="4" w:tentative="0">
      <w:start w:val="1"/>
      <w:numFmt w:val="decimal"/>
      <w:lvlText w:val="%5."/>
      <w:lvlJc w:val="left"/>
      <w:pPr>
        <w:tabs>
          <w:tab w:val="left" w:pos="3883"/>
        </w:tabs>
        <w:ind w:left="3883" w:hanging="720"/>
      </w:pPr>
    </w:lvl>
    <w:lvl w:ilvl="5" w:tentative="0">
      <w:start w:val="1"/>
      <w:numFmt w:val="decimal"/>
      <w:lvlText w:val="%6."/>
      <w:lvlJc w:val="left"/>
      <w:pPr>
        <w:tabs>
          <w:tab w:val="left" w:pos="4603"/>
        </w:tabs>
        <w:ind w:left="4603" w:hanging="720"/>
      </w:pPr>
    </w:lvl>
    <w:lvl w:ilvl="6" w:tentative="0">
      <w:start w:val="1"/>
      <w:numFmt w:val="decimal"/>
      <w:lvlText w:val="%7."/>
      <w:lvlJc w:val="left"/>
      <w:pPr>
        <w:tabs>
          <w:tab w:val="left" w:pos="5323"/>
        </w:tabs>
        <w:ind w:left="5323" w:hanging="720"/>
      </w:pPr>
    </w:lvl>
    <w:lvl w:ilvl="7" w:tentative="0">
      <w:start w:val="1"/>
      <w:numFmt w:val="decimal"/>
      <w:lvlText w:val="%8."/>
      <w:lvlJc w:val="left"/>
      <w:pPr>
        <w:tabs>
          <w:tab w:val="left" w:pos="6043"/>
        </w:tabs>
        <w:ind w:left="6043" w:hanging="720"/>
      </w:pPr>
    </w:lvl>
    <w:lvl w:ilvl="8" w:tentative="0">
      <w:start w:val="1"/>
      <w:numFmt w:val="decimal"/>
      <w:lvlText w:val="%9."/>
      <w:lvlJc w:val="left"/>
      <w:pPr>
        <w:tabs>
          <w:tab w:val="left" w:pos="6763"/>
        </w:tabs>
        <w:ind w:left="6763" w:hanging="720"/>
      </w:pPr>
    </w:lvl>
  </w:abstractNum>
  <w:abstractNum w:abstractNumId="1">
    <w:nsid w:val="298879B0"/>
    <w:multiLevelType w:val="multilevel"/>
    <w:tmpl w:val="298879B0"/>
    <w:lvl w:ilvl="0" w:tentative="0">
      <w:start w:val="1"/>
      <w:numFmt w:val="decimal"/>
      <w:suff w:val="nothing"/>
      <w:lvlText w:val="%1、"/>
      <w:lvlJc w:val="left"/>
      <w:pPr>
        <w:ind w:left="0" w:firstLine="420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126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68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210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52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94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336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78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4200" w:hanging="420"/>
      </w:pPr>
      <w:rPr>
        <w:rFonts w:hint="default"/>
      </w:rPr>
    </w:lvl>
  </w:abstractNum>
  <w:abstractNum w:abstractNumId="2">
    <w:nsid w:val="30BC4983"/>
    <w:multiLevelType w:val="multilevel"/>
    <w:tmpl w:val="30BC4983"/>
    <w:lvl w:ilvl="0" w:tentative="0">
      <w:start w:val="1"/>
      <w:numFmt w:val="decimal"/>
      <w:suff w:val="space"/>
      <w:lvlText w:val="%1."/>
      <w:lvlJc w:val="left"/>
      <w:pPr>
        <w:ind w:left="70" w:firstLine="0"/>
      </w:pPr>
      <w:rPr>
        <w:rFonts w:hint="default" w:ascii="Times New Roman" w:hAnsi="Times New Roman" w:cs="Times New Roman"/>
        <w:sz w:val="28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32A840D7"/>
    <w:multiLevelType w:val="multilevel"/>
    <w:tmpl w:val="32A840D7"/>
    <w:lvl w:ilvl="0" w:tentative="0">
      <w:start w:val="1"/>
      <w:numFmt w:val="decimal"/>
      <w:lvlText w:val="%1."/>
      <w:lvlJc w:val="left"/>
      <w:pPr>
        <w:tabs>
          <w:tab w:val="left" w:pos="1003"/>
        </w:tabs>
        <w:ind w:left="1003" w:hanging="720"/>
      </w:pPr>
    </w:lvl>
    <w:lvl w:ilvl="1" w:tentative="0">
      <w:start w:val="1"/>
      <w:numFmt w:val="decimal"/>
      <w:lvlText w:val="%2."/>
      <w:lvlJc w:val="left"/>
      <w:pPr>
        <w:tabs>
          <w:tab w:val="left" w:pos="1723"/>
        </w:tabs>
        <w:ind w:left="1723" w:hanging="720"/>
      </w:pPr>
    </w:lvl>
    <w:lvl w:ilvl="2" w:tentative="0">
      <w:start w:val="1"/>
      <w:numFmt w:val="decimal"/>
      <w:lvlText w:val="%3."/>
      <w:lvlJc w:val="left"/>
      <w:pPr>
        <w:tabs>
          <w:tab w:val="left" w:pos="2443"/>
        </w:tabs>
        <w:ind w:left="2443" w:hanging="720"/>
      </w:pPr>
    </w:lvl>
    <w:lvl w:ilvl="3" w:tentative="0">
      <w:start w:val="1"/>
      <w:numFmt w:val="decimal"/>
      <w:lvlText w:val="%4."/>
      <w:lvlJc w:val="left"/>
      <w:pPr>
        <w:tabs>
          <w:tab w:val="left" w:pos="3163"/>
        </w:tabs>
        <w:ind w:left="3163" w:hanging="720"/>
      </w:pPr>
    </w:lvl>
    <w:lvl w:ilvl="4" w:tentative="0">
      <w:start w:val="1"/>
      <w:numFmt w:val="decimal"/>
      <w:lvlText w:val="%5."/>
      <w:lvlJc w:val="left"/>
      <w:pPr>
        <w:tabs>
          <w:tab w:val="left" w:pos="3883"/>
        </w:tabs>
        <w:ind w:left="3883" w:hanging="720"/>
      </w:pPr>
    </w:lvl>
    <w:lvl w:ilvl="5" w:tentative="0">
      <w:start w:val="1"/>
      <w:numFmt w:val="decimal"/>
      <w:lvlText w:val="%6."/>
      <w:lvlJc w:val="left"/>
      <w:pPr>
        <w:tabs>
          <w:tab w:val="left" w:pos="4603"/>
        </w:tabs>
        <w:ind w:left="4603" w:hanging="720"/>
      </w:pPr>
    </w:lvl>
    <w:lvl w:ilvl="6" w:tentative="0">
      <w:start w:val="1"/>
      <w:numFmt w:val="decimal"/>
      <w:lvlText w:val="%7."/>
      <w:lvlJc w:val="left"/>
      <w:pPr>
        <w:tabs>
          <w:tab w:val="left" w:pos="5323"/>
        </w:tabs>
        <w:ind w:left="5323" w:hanging="720"/>
      </w:pPr>
    </w:lvl>
    <w:lvl w:ilvl="7" w:tentative="0">
      <w:start w:val="1"/>
      <w:numFmt w:val="decimal"/>
      <w:lvlText w:val="%8."/>
      <w:lvlJc w:val="left"/>
      <w:pPr>
        <w:tabs>
          <w:tab w:val="left" w:pos="6043"/>
        </w:tabs>
        <w:ind w:left="6043" w:hanging="720"/>
      </w:pPr>
    </w:lvl>
    <w:lvl w:ilvl="8" w:tentative="0">
      <w:start w:val="1"/>
      <w:numFmt w:val="decimal"/>
      <w:lvlText w:val="%9."/>
      <w:lvlJc w:val="left"/>
      <w:pPr>
        <w:tabs>
          <w:tab w:val="left" w:pos="6763"/>
        </w:tabs>
        <w:ind w:left="6763" w:hanging="720"/>
      </w:pPr>
    </w:lvl>
  </w:abstractNum>
  <w:abstractNum w:abstractNumId="4">
    <w:nsid w:val="3B3473B7"/>
    <w:multiLevelType w:val="multilevel"/>
    <w:tmpl w:val="3B3473B7"/>
    <w:lvl w:ilvl="0" w:tentative="0">
      <w:start w:val="1"/>
      <w:numFmt w:val="decimal"/>
      <w:suff w:val="space"/>
      <w:lvlText w:val="%1."/>
      <w:lvlJc w:val="left"/>
      <w:pPr>
        <w:ind w:left="70" w:firstLine="0"/>
      </w:pPr>
      <w:rPr>
        <w:rFonts w:hint="default" w:ascii="Times New Roman" w:hAnsi="Times New Roman" w:cs="Times New Roman"/>
        <w:sz w:val="28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59D755D2"/>
    <w:multiLevelType w:val="multilevel"/>
    <w:tmpl w:val="59D755D2"/>
    <w:lvl w:ilvl="0" w:tentative="0">
      <w:start w:val="1"/>
      <w:numFmt w:val="chineseCountingThousand"/>
      <w:lvlText w:val="%1、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C60E5"/>
    <w:rsid w:val="15C23687"/>
    <w:rsid w:val="373243A8"/>
    <w:rsid w:val="377F0DA0"/>
    <w:rsid w:val="3E7F3810"/>
    <w:rsid w:val="671C0811"/>
    <w:rsid w:val="6D7C60E5"/>
    <w:rsid w:val="77FE78ED"/>
    <w:rsid w:val="7BFD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rFonts w:ascii="CG Times" w:hAnsi="CG Times" w:eastAsia="楷体_GB2312"/>
      <w:sz w:val="28"/>
      <w:szCs w:val="20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2022-07-18T02:46:00Z</dcterms:created>
  <dc:creator>xiaodan</dc:creator>
  <cp:lastModifiedBy>xiaodan</cp:lastModifiedBy>
  <dcterms:modified xsi:type="dcterms:W3CDTF">2022-08-12T02:20:54Z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5000AF1888B342D084C83522FD261412</vt:lpwstr>
  </property>
</Properties>
</file>