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shd w:val="clear" w:color="auto" w:fill="FFFFFF"/>
        </w:rPr>
        <w:t>关于使用北交所通信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shd w:val="clear" w:color="auto" w:fill="FFFFFF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shd w:val="clear" w:color="auto" w:fill="FFFFFF"/>
        </w:rPr>
        <w:t>的承诺函</w:t>
      </w:r>
    </w:p>
    <w:p>
      <w:pPr>
        <w:spacing w:line="360" w:lineRule="auto"/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深圳证券通信有限公司：</w:t>
      </w:r>
    </w:p>
    <w:p>
      <w:pPr>
        <w:spacing w:line="360" w:lineRule="auto"/>
        <w:ind w:firstLine="560" w:firstLineChars="200"/>
        <w:rPr>
          <w:rFonts w:hint="default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我司因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业务需要，申请通过深圳证券通信有限公司（以下简称深证通）建设的北交所通信系统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与股转结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算通信系统开展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北京证券交易所固定收益业务，知晓并充分了解深证通提供的通信服务如下：</w:t>
      </w:r>
    </w:p>
    <w:p>
      <w:pPr>
        <w:spacing w:line="360" w:lineRule="auto"/>
        <w:ind w:firstLine="560" w:firstLineChars="200"/>
        <w:rPr>
          <w:rFonts w:hint="default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一、通信应用服务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1.北京市场交易通信网关服务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2.北京市场行情通信网关服务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3.北京市场成交汇总通信网关服务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4.股转结算通信网关服务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二、网络接入服务</w:t>
      </w:r>
    </w:p>
    <w:p>
      <w:pPr>
        <w:spacing w:line="360" w:lineRule="auto"/>
        <w:ind w:firstLine="560" w:firstLineChars="200"/>
        <w:rPr>
          <w:rFonts w:hint="default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1.增值网地面线路接入服务</w:t>
      </w:r>
    </w:p>
    <w:p>
      <w:pPr>
        <w:numPr>
          <w:ilvl w:val="0"/>
          <w:numId w:val="0"/>
        </w:numPr>
        <w:wordWrap/>
        <w:spacing w:line="360" w:lineRule="auto"/>
        <w:ind w:firstLine="560" w:firstLineChars="200"/>
        <w:jc w:val="left"/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具体服务内容以深证通提供的合同模板为准。</w:t>
      </w:r>
    </w:p>
    <w:p>
      <w:pPr>
        <w:numPr>
          <w:ilvl w:val="0"/>
          <w:numId w:val="0"/>
        </w:numPr>
        <w:wordWrap/>
        <w:spacing w:line="360" w:lineRule="auto"/>
        <w:ind w:firstLine="560" w:firstLineChars="200"/>
        <w:jc w:val="left"/>
        <w:rPr>
          <w:rFonts w:hint="default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我司将密切关注深证通对外发布的通知、收费标准及业务办理流程，并在收到相关通知后1个月内与深证通完成合同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签署。我司知晓并充分了解，我司签署合同后方可获得上述通信服务的保障。</w:t>
      </w:r>
    </w:p>
    <w:p>
      <w:pPr>
        <w:numPr>
          <w:ilvl w:val="0"/>
          <w:numId w:val="0"/>
        </w:numPr>
        <w:wordWrap/>
        <w:spacing w:line="360" w:lineRule="auto"/>
        <w:ind w:firstLine="5600" w:firstLineChars="2000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联系人：</w:t>
      </w:r>
    </w:p>
    <w:p>
      <w:pPr>
        <w:wordWrap w:val="0"/>
        <w:spacing w:line="600" w:lineRule="auto"/>
        <w:ind w:firstLine="420" w:firstLineChars="150"/>
        <w:jc w:val="righ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联系电话：           </w:t>
      </w:r>
    </w:p>
    <w:p>
      <w:pPr>
        <w:wordWrap w:val="0"/>
        <w:spacing w:line="600" w:lineRule="auto"/>
        <w:ind w:firstLine="420" w:firstLineChars="150"/>
        <w:jc w:val="righ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承诺单位（公司公章）：          </w:t>
      </w:r>
    </w:p>
    <w:p>
      <w:pPr>
        <w:spacing w:line="600" w:lineRule="auto"/>
        <w:ind w:firstLine="4060" w:firstLineChars="1450"/>
        <w:jc w:val="righ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日期：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11BAB"/>
    <w:rsid w:val="001D4A43"/>
    <w:rsid w:val="04D12B0D"/>
    <w:rsid w:val="0C3F0E27"/>
    <w:rsid w:val="0C953DB4"/>
    <w:rsid w:val="0F705988"/>
    <w:rsid w:val="143D6344"/>
    <w:rsid w:val="2831177E"/>
    <w:rsid w:val="2A443685"/>
    <w:rsid w:val="2B2D728F"/>
    <w:rsid w:val="31FC6D01"/>
    <w:rsid w:val="36617CA1"/>
    <w:rsid w:val="37895702"/>
    <w:rsid w:val="45FB54EF"/>
    <w:rsid w:val="4D0B4A2B"/>
    <w:rsid w:val="4EDD24E2"/>
    <w:rsid w:val="51093684"/>
    <w:rsid w:val="54311BAB"/>
    <w:rsid w:val="6B794802"/>
    <w:rsid w:val="6E671430"/>
    <w:rsid w:val="75FC6AC3"/>
    <w:rsid w:val="783E61D3"/>
    <w:rsid w:val="7E9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2023-11-06T02:46:00Z</dcterms:created>
  <dc:creator>徐梅</dc:creator>
  <cp:lastModifiedBy>weizg</cp:lastModifiedBy>
  <dcterms:modified xsi:type="dcterms:W3CDTF">2023-11-17T08:14:51Z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1E5EF6B855A74C438D25851814900F6F</vt:lpwstr>
  </property>
</Properties>
</file>