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bookmarkStart w:id="2" w:name="_GoBack"/>
      <w:bookmarkStart w:id="0" w:name="_Hlk104836407"/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2024年3月16日易境通平台新增港股行情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全网</w:t>
      </w:r>
      <w:r>
        <w:rPr>
          <w:rFonts w:hint="eastAsia"/>
          <w:b/>
          <w:sz w:val="32"/>
          <w:szCs w:val="32"/>
        </w:rPr>
        <w:t>测试方案</w:t>
      </w:r>
    </w:p>
    <w:p>
      <w:pPr>
        <w:jc w:val="center"/>
        <w:rPr>
          <w:b/>
          <w:sz w:val="32"/>
          <w:szCs w:val="32"/>
        </w:rPr>
      </w:pPr>
    </w:p>
    <w:p>
      <w:pPr>
        <w:numPr>
          <w:ilvl w:val="0"/>
          <w:numId w:val="1"/>
        </w:numPr>
        <w:ind w:left="0" w:firstLine="0"/>
        <w:outlineLvl w:val="0"/>
        <w:rPr>
          <w:rFonts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测试目的</w:t>
      </w:r>
    </w:p>
    <w:p>
      <w:pPr>
        <w:widowControl/>
        <w:ind w:firstLine="560" w:firstLineChars="200"/>
        <w:jc w:val="left"/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  <w:t>为保证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  <w:t>系统各项功能正常运行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  <w:t>，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  <w:t>深圳证券通信有限公司（以下简称深证通）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  <w:t>定于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eastAsia="zh-CN"/>
        </w:rPr>
        <w:t>202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eastAsia="zh-CN"/>
        </w:rPr>
        <w:t>年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  <w:t>3月16日组织全网测试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  <w:t>，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  <w:t>首次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  <w:t>在易境通平台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  <w:t>进行港股行情的发送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  <w:t>，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  <w:t>港股行情频道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  <w:t>涵盖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  <w:t>港股原始行情数据实时转发、重传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  <w:t>等主要业务环节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eastAsia="zh-CN"/>
        </w:rPr>
        <w:t>，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  <w:t>其中实时数据来源为香港证券交易所（港交所）全网测试环境，重传数据来自深证通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  <w:t>。</w:t>
      </w:r>
    </w:p>
    <w:p>
      <w:pPr>
        <w:widowControl/>
        <w:ind w:firstLine="560" w:firstLineChars="200"/>
        <w:jc w:val="left"/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</w:pPr>
    </w:p>
    <w:p>
      <w:pPr>
        <w:numPr>
          <w:ilvl w:val="0"/>
          <w:numId w:val="1"/>
        </w:numPr>
        <w:outlineLvl w:val="0"/>
        <w:rPr>
          <w:rFonts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参测单位</w:t>
      </w:r>
    </w:p>
    <w:p>
      <w:pPr>
        <w:pStyle w:val="8"/>
        <w:numPr>
          <w:ilvl w:val="0"/>
          <w:numId w:val="2"/>
        </w:numPr>
        <w:spacing w:line="560" w:lineRule="exact"/>
        <w:ind w:firstLine="560" w:firstLineChars="0"/>
        <w:rPr>
          <w:rFonts w:hint="eastAsia" w:ascii="楷体_GB2312" w:hAnsi="楷体_GB2312" w:eastAsia="楷体_GB2312" w:cs="楷体_GB2312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kern w:val="0"/>
          <w:sz w:val="28"/>
          <w:szCs w:val="28"/>
        </w:rPr>
        <w:t>深圳证券通信有限公司</w:t>
      </w:r>
    </w:p>
    <w:p>
      <w:pPr>
        <w:pStyle w:val="8"/>
        <w:numPr>
          <w:ilvl w:val="0"/>
          <w:numId w:val="2"/>
        </w:numPr>
        <w:spacing w:line="560" w:lineRule="exact"/>
        <w:ind w:firstLine="560" w:firstLineChars="0"/>
        <w:rPr>
          <w:rFonts w:hint="eastAsia" w:ascii="楷体_GB2312" w:hAnsi="楷体_GB2312" w:eastAsia="楷体_GB2312" w:cs="楷体_GB2312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kern w:val="0"/>
          <w:sz w:val="28"/>
          <w:szCs w:val="28"/>
          <w:lang w:val="en-US" w:eastAsia="zh-CN"/>
        </w:rPr>
        <w:t>中国结算深圳分公司</w:t>
      </w:r>
    </w:p>
    <w:p>
      <w:pPr>
        <w:pStyle w:val="8"/>
        <w:numPr>
          <w:ilvl w:val="0"/>
          <w:numId w:val="2"/>
        </w:numPr>
        <w:spacing w:line="560" w:lineRule="exact"/>
        <w:ind w:firstLine="560" w:firstLineChars="0"/>
        <w:rPr>
          <w:rFonts w:hint="eastAsia" w:ascii="楷体_GB2312" w:hAnsi="楷体_GB2312" w:eastAsia="楷体_GB2312" w:cs="楷体_GB2312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kern w:val="0"/>
          <w:sz w:val="28"/>
          <w:szCs w:val="28"/>
          <w:lang w:val="en-US" w:eastAsia="zh-CN"/>
        </w:rPr>
        <w:t>B转H境内</w:t>
      </w:r>
      <w:r>
        <w:rPr>
          <w:rFonts w:hint="eastAsia" w:ascii="楷体_GB2312" w:hAnsi="楷体_GB2312" w:eastAsia="楷体_GB2312" w:cs="楷体_GB2312"/>
          <w:kern w:val="0"/>
          <w:sz w:val="28"/>
          <w:szCs w:val="28"/>
        </w:rPr>
        <w:t>证券公司</w:t>
      </w:r>
    </w:p>
    <w:p>
      <w:pPr>
        <w:pStyle w:val="8"/>
        <w:numPr>
          <w:ilvl w:val="0"/>
          <w:numId w:val="2"/>
        </w:numPr>
        <w:spacing w:line="560" w:lineRule="exact"/>
        <w:ind w:firstLine="560" w:firstLineChars="0"/>
        <w:rPr>
          <w:rFonts w:hint="eastAsia" w:ascii="楷体_GB2312" w:hAnsi="楷体_GB2312" w:eastAsia="楷体_GB2312" w:cs="楷体_GB2312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kern w:val="0"/>
          <w:sz w:val="28"/>
          <w:szCs w:val="28"/>
          <w:lang w:val="en-US" w:eastAsia="zh-CN"/>
        </w:rPr>
        <w:t>港股行情接入机构</w:t>
      </w:r>
    </w:p>
    <w:p>
      <w:pPr>
        <w:widowControl/>
        <w:tabs>
          <w:tab w:val="left" w:pos="840"/>
        </w:tabs>
        <w:spacing w:line="360" w:lineRule="atLeast"/>
        <w:jc w:val="left"/>
        <w:rPr>
          <w:rFonts w:ascii="楷体_GB2312" w:hAnsi="楷体_GB2312" w:eastAsia="楷体_GB2312" w:cs="楷体_GB2312"/>
          <w:sz w:val="28"/>
          <w:szCs w:val="28"/>
        </w:rPr>
      </w:pPr>
    </w:p>
    <w:p>
      <w:pPr>
        <w:numPr>
          <w:ilvl w:val="0"/>
          <w:numId w:val="1"/>
        </w:numPr>
        <w:outlineLvl w:val="0"/>
        <w:rPr>
          <w:rFonts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测试内容</w:t>
      </w:r>
    </w:p>
    <w:p>
      <w:pPr>
        <w:widowControl/>
        <w:numPr>
          <w:ilvl w:val="0"/>
          <w:numId w:val="0"/>
        </w:numPr>
        <w:spacing w:line="360" w:lineRule="atLeast"/>
        <w:ind w:left="510" w:leftChars="0"/>
        <w:jc w:val="left"/>
        <w:outlineLvl w:val="1"/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  <w:t>本次测试重点包括以下内容：</w:t>
      </w:r>
    </w:p>
    <w:p>
      <w:pPr>
        <w:widowControl/>
        <w:numPr>
          <w:ilvl w:val="0"/>
          <w:numId w:val="3"/>
        </w:numPr>
        <w:spacing w:line="360" w:lineRule="atLeast"/>
        <w:ind w:firstLine="510"/>
        <w:jc w:val="left"/>
        <w:outlineLvl w:val="1"/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  <w:t>境内证券公司可通过易境通平台报送B转H（测试代码299902）及H股全流通交易卖出委托、转托管委托，并验证对应的回报是否正确。</w:t>
      </w:r>
    </w:p>
    <w:p>
      <w:pPr>
        <w:widowControl/>
        <w:numPr>
          <w:ilvl w:val="0"/>
          <w:numId w:val="3"/>
        </w:numPr>
        <w:spacing w:line="360" w:lineRule="atLeast"/>
        <w:ind w:firstLine="510"/>
        <w:jc w:val="left"/>
        <w:outlineLvl w:val="1"/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  <w:t>境内证券公司通过易境通平台接收B转H股行情及H股全流通行情。</w:t>
      </w:r>
    </w:p>
    <w:p>
      <w:pPr>
        <w:widowControl/>
        <w:numPr>
          <w:ilvl w:val="0"/>
          <w:numId w:val="3"/>
        </w:numPr>
        <w:spacing w:line="360" w:lineRule="atLeast"/>
        <w:ind w:firstLine="510"/>
        <w:jc w:val="left"/>
        <w:outlineLvl w:val="1"/>
        <w:rPr>
          <w:rFonts w:ascii="楷体_GB2312" w:hAnsi="楷体_GB2312" w:eastAsia="楷体_GB2312" w:cs="楷体_GB2312"/>
          <w:color w:val="2E2E2E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  <w:t>境内证券公司通过易境通平台接收港股行情。</w:t>
      </w:r>
    </w:p>
    <w:p>
      <w:pPr>
        <w:numPr>
          <w:ilvl w:val="0"/>
          <w:numId w:val="1"/>
        </w:numPr>
        <w:outlineLvl w:val="0"/>
        <w:rPr>
          <w:rFonts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测试时间</w:t>
      </w:r>
    </w:p>
    <w:p>
      <w:pPr>
        <w:ind w:firstLine="562" w:firstLineChars="200"/>
        <w:rPr>
          <w:rFonts w:ascii="楷体_GB2312" w:hAnsi="楷体_GB2312" w:eastAsia="楷体_GB2312" w:cs="楷体_GB2312"/>
          <w:b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color w:val="000000"/>
          <w:sz w:val="28"/>
          <w:szCs w:val="28"/>
        </w:rPr>
        <w:t>测试时间为</w:t>
      </w:r>
      <w:r>
        <w:rPr>
          <w:rFonts w:hint="eastAsia" w:ascii="楷体_GB2312" w:hAnsi="楷体_GB2312" w:eastAsia="楷体_GB2312" w:cs="楷体_GB2312"/>
          <w:b/>
          <w:color w:val="000000"/>
          <w:sz w:val="28"/>
          <w:szCs w:val="28"/>
          <w:lang w:eastAsia="zh-CN"/>
        </w:rPr>
        <w:t>202</w:t>
      </w:r>
      <w:r>
        <w:rPr>
          <w:rFonts w:hint="eastAsia" w:ascii="楷体_GB2312" w:hAnsi="楷体_GB2312" w:eastAsia="楷体_GB2312" w:cs="楷体_GB2312"/>
          <w:b/>
          <w:color w:val="000000"/>
          <w:sz w:val="28"/>
          <w:szCs w:val="28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b/>
          <w:color w:val="000000"/>
          <w:sz w:val="28"/>
          <w:szCs w:val="28"/>
          <w:lang w:eastAsia="zh-CN"/>
        </w:rPr>
        <w:t>年</w:t>
      </w:r>
      <w:r>
        <w:rPr>
          <w:rFonts w:hint="eastAsia" w:ascii="楷体_GB2312" w:hAnsi="楷体_GB2312" w:eastAsia="楷体_GB2312" w:cs="楷体_GB2312"/>
          <w:b/>
          <w:color w:val="000000"/>
          <w:sz w:val="28"/>
          <w:szCs w:val="28"/>
          <w:lang w:val="en-US" w:eastAsia="zh-CN"/>
        </w:rPr>
        <w:t>3月16</w:t>
      </w:r>
      <w:r>
        <w:rPr>
          <w:rFonts w:hint="eastAsia" w:ascii="楷体_GB2312" w:hAnsi="楷体_GB2312" w:eastAsia="楷体_GB2312" w:cs="楷体_GB2312"/>
          <w:b/>
          <w:color w:val="000000"/>
          <w:sz w:val="28"/>
          <w:szCs w:val="28"/>
          <w:lang w:eastAsia="zh-CN"/>
        </w:rPr>
        <w:t>日</w:t>
      </w:r>
      <w:r>
        <w:rPr>
          <w:rFonts w:hint="eastAsia" w:ascii="楷体_GB2312" w:hAnsi="楷体_GB2312" w:eastAsia="楷体_GB2312" w:cs="楷体_GB2312"/>
          <w:b/>
          <w:color w:val="000000"/>
          <w:sz w:val="28"/>
          <w:szCs w:val="28"/>
        </w:rPr>
        <w:t>（星期六）</w:t>
      </w:r>
      <w:r>
        <w:rPr>
          <w:rFonts w:hint="eastAsia" w:ascii="楷体_GB2312" w:hAnsi="楷体_GB2312" w:eastAsia="楷体_GB2312" w:cs="楷体_GB2312"/>
          <w:b/>
          <w:color w:val="000000"/>
          <w:sz w:val="28"/>
          <w:szCs w:val="28"/>
          <w:lang w:val="en-US" w:eastAsia="zh-CN"/>
        </w:rPr>
        <w:t>8:30至12:00</w:t>
      </w:r>
      <w:r>
        <w:rPr>
          <w:rFonts w:hint="eastAsia" w:ascii="楷体_GB2312" w:hAnsi="楷体_GB2312" w:eastAsia="楷体_GB2312" w:cs="楷体_GB2312"/>
          <w:b/>
          <w:color w:val="000000"/>
          <w:sz w:val="28"/>
          <w:szCs w:val="28"/>
        </w:rPr>
        <w:t>。</w:t>
      </w:r>
    </w:p>
    <w:p>
      <w:pPr>
        <w:ind w:firstLine="560" w:firstLineChars="200"/>
        <w:rPr>
          <w:rFonts w:hint="eastAsia"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具体安排请见下表：</w:t>
      </w:r>
    </w:p>
    <w:tbl>
      <w:tblPr>
        <w:tblStyle w:val="5"/>
        <w:tblW w:w="7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3887"/>
        <w:gridCol w:w="2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98" w:type="dxa"/>
            <w:shd w:val="clear" w:color="auto" w:fill="E0E0E0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Cs w:val="21"/>
              </w:rPr>
              <w:t>实际时间</w:t>
            </w:r>
          </w:p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Cs w:val="21"/>
              </w:rPr>
              <w:t>(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Cs w:val="21"/>
                <w:lang w:val="en-US" w:eastAsia="zh-CN"/>
              </w:rPr>
              <w:t>24日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Cs w:val="21"/>
              </w:rPr>
              <w:t>)</w:t>
            </w:r>
          </w:p>
        </w:tc>
        <w:tc>
          <w:tcPr>
            <w:tcW w:w="3887" w:type="dxa"/>
            <w:shd w:val="clear" w:color="auto" w:fill="E0E0E0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Cs w:val="21"/>
              </w:rPr>
              <w:t>测试内容</w:t>
            </w:r>
          </w:p>
        </w:tc>
        <w:tc>
          <w:tcPr>
            <w:tcW w:w="2034" w:type="dxa"/>
            <w:shd w:val="clear" w:color="auto" w:fill="E0E0E0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Cs w:val="21"/>
              </w:rPr>
              <w:t>测试重点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9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楷体_GB2312" w:hAnsi="楷体_GB2312" w:eastAsia="楷体_GB2312" w:cs="楷体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  <w:lang w:val="en-US" w:eastAsia="zh-CN"/>
              </w:rPr>
              <w:t>9:00-12:00</w:t>
            </w:r>
          </w:p>
        </w:tc>
        <w:tc>
          <w:tcPr>
            <w:tcW w:w="3887" w:type="dxa"/>
            <w:noWrap w:val="0"/>
            <w:vAlign w:val="center"/>
          </w:tcPr>
          <w:p>
            <w:pPr>
              <w:spacing w:line="300" w:lineRule="exact"/>
              <w:rPr>
                <w:rFonts w:hint="default" w:ascii="楷体_GB2312" w:hAnsi="楷体_GB2312" w:eastAsia="楷体_GB2312" w:cs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易境通行情接收时间</w:t>
            </w:r>
          </w:p>
        </w:tc>
        <w:tc>
          <w:tcPr>
            <w:tcW w:w="2034" w:type="dxa"/>
            <w:noWrap w:val="0"/>
            <w:vAlign w:val="center"/>
          </w:tcPr>
          <w:p>
            <w:pPr>
              <w:spacing w:line="300" w:lineRule="exact"/>
              <w:rPr>
                <w:rFonts w:hint="default" w:ascii="楷体_GB2312" w:hAnsi="楷体_GB2312" w:eastAsia="楷体_GB2312" w:cs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港股行情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9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楷体_GB2312" w:hAnsi="楷体_GB2312" w:eastAsia="楷体_GB2312" w:cs="楷体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  <w:lang w:val="en-US" w:eastAsia="zh-CN"/>
              </w:rPr>
              <w:t>9:15-11:30</w:t>
            </w:r>
          </w:p>
        </w:tc>
        <w:tc>
          <w:tcPr>
            <w:tcW w:w="3887" w:type="dxa"/>
            <w:noWrap w:val="0"/>
            <w:vAlign w:val="center"/>
          </w:tcPr>
          <w:p>
            <w:pPr>
              <w:spacing w:line="300" w:lineRule="exact"/>
              <w:rPr>
                <w:rFonts w:hint="default" w:ascii="楷体_GB2312" w:hAnsi="楷体_GB2312" w:eastAsia="楷体_GB2312" w:cs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易境通B转H业务平台委托时间</w:t>
            </w:r>
          </w:p>
        </w:tc>
        <w:tc>
          <w:tcPr>
            <w:tcW w:w="2034" w:type="dxa"/>
            <w:noWrap w:val="0"/>
            <w:vAlign w:val="center"/>
          </w:tcPr>
          <w:p>
            <w:pPr>
              <w:spacing w:line="300" w:lineRule="exact"/>
              <w:rPr>
                <w:rFonts w:hint="default" w:ascii="楷体_GB2312" w:hAnsi="楷体_GB2312" w:eastAsia="楷体_GB2312" w:cs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测试代码299902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9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楷体_GB2312" w:hAnsi="楷体_GB2312" w:eastAsia="楷体_GB2312" w:cs="楷体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  <w:lang w:val="en-US" w:eastAsia="zh-CN"/>
              </w:rPr>
              <w:t>8:55-12:00</w:t>
            </w:r>
          </w:p>
        </w:tc>
        <w:tc>
          <w:tcPr>
            <w:tcW w:w="3887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hAnsi="楷体_GB2312" w:eastAsia="楷体_GB2312" w:cs="楷体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易境通H股全流通业务平台委托时间</w:t>
            </w:r>
          </w:p>
        </w:tc>
        <w:tc>
          <w:tcPr>
            <w:tcW w:w="2034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9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楷体_GB2312" w:hAnsi="楷体_GB2312" w:eastAsia="楷体_GB2312" w:cs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12:10之前</w:t>
            </w:r>
          </w:p>
        </w:tc>
        <w:tc>
          <w:tcPr>
            <w:tcW w:w="3887" w:type="dxa"/>
            <w:noWrap w:val="0"/>
            <w:vAlign w:val="top"/>
          </w:tcPr>
          <w:p>
            <w:pPr>
              <w:spacing w:line="300" w:lineRule="exact"/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境外代理券商发送B转H全天市场闭市标志和H股全流通回报结束消息</w:t>
            </w:r>
          </w:p>
        </w:tc>
        <w:tc>
          <w:tcPr>
            <w:tcW w:w="2034" w:type="dxa"/>
            <w:noWrap w:val="0"/>
            <w:vAlign w:val="top"/>
          </w:tcPr>
          <w:p>
            <w:pPr>
              <w:spacing w:line="300" w:lineRule="exact"/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</w:pPr>
          </w:p>
        </w:tc>
      </w:tr>
    </w:tbl>
    <w:p>
      <w:pPr>
        <w:numPr>
          <w:ilvl w:val="0"/>
          <w:numId w:val="1"/>
        </w:numPr>
        <w:outlineLvl w:val="0"/>
        <w:rPr>
          <w:rFonts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测试数据</w:t>
      </w:r>
    </w:p>
    <w:p>
      <w:pPr>
        <w:pStyle w:val="8"/>
        <w:numPr>
          <w:ilvl w:val="0"/>
          <w:numId w:val="4"/>
        </w:numPr>
        <w:spacing w:line="560" w:lineRule="exact"/>
        <w:ind w:firstLine="560" w:firstLineChars="0"/>
        <w:outlineLvl w:val="1"/>
        <w:rPr>
          <w:rFonts w:hint="eastAsia" w:ascii="楷体_GB2312" w:hAnsi="楷体_GB2312" w:eastAsia="楷体_GB2312" w:cs="楷体_GB2312"/>
          <w:color w:val="auto"/>
          <w:kern w:val="2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28"/>
          <w:szCs w:val="28"/>
          <w:lang w:val="en-US" w:eastAsia="zh-CN"/>
        </w:rPr>
        <w:t>本次测试星期六清算，测试数据均以2024年3月15日周五闭市后为准。</w:t>
      </w:r>
      <w:bookmarkEnd w:id="2"/>
    </w:p>
    <w:p>
      <w:pPr>
        <w:pStyle w:val="8"/>
        <w:spacing w:line="560" w:lineRule="exact"/>
        <w:ind w:left="630" w:firstLine="0" w:firstLineChars="0"/>
        <w:rPr>
          <w:rFonts w:ascii="楷体_GB2312" w:eastAsia="楷体_GB2312"/>
          <w:color w:val="000000"/>
          <w:sz w:val="28"/>
          <w:szCs w:val="28"/>
        </w:rPr>
      </w:pPr>
    </w:p>
    <w:bookmarkEnd w:id="0"/>
    <w:p>
      <w:pPr>
        <w:numPr>
          <w:ilvl w:val="0"/>
          <w:numId w:val="1"/>
        </w:numPr>
        <w:outlineLvl w:val="0"/>
        <w:rPr>
          <w:rFonts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注意事项</w:t>
      </w:r>
    </w:p>
    <w:p>
      <w:pPr>
        <w:numPr>
          <w:ilvl w:val="0"/>
          <w:numId w:val="5"/>
        </w:numPr>
        <w:tabs>
          <w:tab w:val="left" w:pos="840"/>
          <w:tab w:val="left" w:pos="928"/>
          <w:tab w:val="left" w:pos="1050"/>
        </w:tabs>
        <w:spacing w:line="560" w:lineRule="exact"/>
        <w:ind w:left="0" w:firstLine="567" w:firstLineChars="0"/>
        <w:outlineLvl w:val="1"/>
        <w:rPr>
          <w:rFonts w:hint="eastAsia" w:ascii="楷体_GB2312" w:eastAsia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本次测试包括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易境通平台交易、行情通信系统</w:t>
      </w:r>
      <w:r>
        <w:rPr>
          <w:rFonts w:hint="eastAsia" w:ascii="楷体_GB2312" w:hAnsi="楷体_GB2312" w:eastAsia="楷体_GB2312" w:cs="楷体_GB2312"/>
          <w:sz w:val="28"/>
          <w:szCs w:val="28"/>
        </w:rPr>
        <w:t>。</w:t>
      </w:r>
    </w:p>
    <w:p>
      <w:pPr>
        <w:numPr>
          <w:ilvl w:val="0"/>
          <w:numId w:val="5"/>
        </w:numPr>
        <w:tabs>
          <w:tab w:val="left" w:pos="840"/>
          <w:tab w:val="left" w:pos="928"/>
          <w:tab w:val="left" w:pos="1050"/>
        </w:tabs>
        <w:spacing w:line="560" w:lineRule="exact"/>
        <w:ind w:left="0" w:firstLine="567" w:firstLineChars="0"/>
        <w:outlineLvl w:val="1"/>
        <w:rPr>
          <w:rFonts w:hint="eastAsia"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  <w:lang w:val="en-US" w:eastAsia="zh-CN"/>
        </w:rPr>
        <w:t>易境通交易网关版本号为20220629，行情网关版本号为20220922（未变更程序版本，如需测试港股行情需更新配置文件）。程序和文档详见深证通官网统一客户专区http://biz.sscc.com下载专区 -&gt; 交易结算业务 -&gt; 易境通平台。</w:t>
      </w:r>
    </w:p>
    <w:p>
      <w:pPr>
        <w:numPr>
          <w:ilvl w:val="0"/>
          <w:numId w:val="5"/>
        </w:numPr>
        <w:tabs>
          <w:tab w:val="left" w:pos="840"/>
          <w:tab w:val="left" w:pos="928"/>
          <w:tab w:val="left" w:pos="1050"/>
        </w:tabs>
        <w:ind w:left="0" w:firstLine="567"/>
        <w:rPr>
          <w:rFonts w:hint="eastAsia"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  <w:lang w:val="en-US" w:eastAsia="zh-CN"/>
        </w:rPr>
        <w:t>内部</w:t>
      </w:r>
      <w:r>
        <w:rPr>
          <w:rFonts w:hint="eastAsia" w:ascii="楷体_GB2312" w:eastAsia="楷体_GB2312"/>
          <w:color w:val="000000"/>
          <w:sz w:val="28"/>
          <w:szCs w:val="28"/>
        </w:rPr>
        <w:t xml:space="preserve">测试环境接入配置如下： </w:t>
      </w:r>
    </w:p>
    <w:tbl>
      <w:tblPr>
        <w:tblStyle w:val="5"/>
        <w:tblW w:w="886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529"/>
        <w:gridCol w:w="26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15" w:type="dxa"/>
            <w:shd w:val="clear" w:color="auto" w:fill="BEBEBE" w:themeFill="background1" w:themeFillShade="BF"/>
            <w:noWrap w:val="0"/>
            <w:vAlign w:val="center"/>
          </w:tcPr>
          <w:p>
            <w:pPr>
              <w:spacing w:line="350" w:lineRule="exact"/>
              <w:jc w:val="center"/>
              <w:rPr>
                <w:rFonts w:hint="eastAsia" w:ascii="楷体" w:hAnsi="楷体" w:eastAsia="楷体" w:cs="楷体"/>
                <w:b/>
                <w:bCs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</w:rPr>
              <w:t>测试类别</w:t>
            </w:r>
          </w:p>
        </w:tc>
        <w:tc>
          <w:tcPr>
            <w:tcW w:w="4529" w:type="dxa"/>
            <w:shd w:val="clear" w:color="auto" w:fill="BEBEBE" w:themeFill="background1" w:themeFillShade="BF"/>
            <w:noWrap w:val="0"/>
            <w:vAlign w:val="center"/>
          </w:tcPr>
          <w:p>
            <w:pPr>
              <w:spacing w:line="350" w:lineRule="exact"/>
              <w:jc w:val="center"/>
              <w:rPr>
                <w:rFonts w:hint="eastAsia" w:ascii="楷体" w:hAnsi="楷体" w:eastAsia="楷体" w:cs="楷体"/>
                <w:b/>
                <w:bCs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</w:rPr>
              <w:t>服务器地址</w:t>
            </w:r>
          </w:p>
        </w:tc>
        <w:tc>
          <w:tcPr>
            <w:tcW w:w="2624" w:type="dxa"/>
            <w:shd w:val="clear" w:color="auto" w:fill="BEBEBE" w:themeFill="background1" w:themeFillShade="BF"/>
            <w:noWrap w:val="0"/>
            <w:vAlign w:val="center"/>
          </w:tcPr>
          <w:p>
            <w:pPr>
              <w:spacing w:line="350" w:lineRule="exact"/>
              <w:jc w:val="center"/>
              <w:rPr>
                <w:rFonts w:hint="eastAsia" w:ascii="楷体" w:hAnsi="楷体" w:eastAsia="楷体" w:cs="楷体"/>
                <w:b/>
                <w:bCs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</w:rPr>
              <w:t>备 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715" w:type="dxa"/>
            <w:vMerge w:val="restart"/>
            <w:noWrap w:val="0"/>
            <w:vAlign w:val="center"/>
          </w:tcPr>
          <w:p>
            <w:pPr>
              <w:spacing w:line="350" w:lineRule="exact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D-COM网关</w:t>
            </w:r>
          </w:p>
        </w:tc>
        <w:tc>
          <w:tcPr>
            <w:tcW w:w="4529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172.27.2.168</w:t>
            </w:r>
          </w:p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172.27.130.168</w:t>
            </w:r>
          </w:p>
        </w:tc>
        <w:tc>
          <w:tcPr>
            <w:tcW w:w="2624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通过交易结算网接入地址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715" w:type="dxa"/>
            <w:vMerge w:val="continue"/>
            <w:noWrap w:val="0"/>
            <w:vAlign w:val="center"/>
          </w:tcPr>
          <w:p>
            <w:pPr>
              <w:spacing w:line="350" w:lineRule="exact"/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4529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172.40.1.150</w:t>
            </w:r>
          </w:p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172.60.1.150</w:t>
            </w:r>
          </w:p>
        </w:tc>
        <w:tc>
          <w:tcPr>
            <w:tcW w:w="2624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通过增值业务网/综合托管网接入地址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715" w:type="dxa"/>
            <w:noWrap w:val="0"/>
            <w:vAlign w:val="center"/>
          </w:tcPr>
          <w:p>
            <w:pPr>
              <w:spacing w:line="350" w:lineRule="exact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易境通</w:t>
            </w:r>
            <w:r>
              <w:rPr>
                <w:rFonts w:hint="eastAsia" w:ascii="楷体" w:hAnsi="楷体" w:eastAsia="楷体" w:cs="楷体"/>
                <w:szCs w:val="21"/>
              </w:rPr>
              <w:t>交易网关</w:t>
            </w:r>
          </w:p>
        </w:tc>
        <w:tc>
          <w:tcPr>
            <w:tcW w:w="4529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172.40.1.170（地面）：7002</w:t>
            </w:r>
          </w:p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172.40.2.170（卫星）</w:t>
            </w:r>
          </w:p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172.60.1.170（地面）：7002</w:t>
            </w:r>
          </w:p>
        </w:tc>
        <w:tc>
          <w:tcPr>
            <w:tcW w:w="2624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境内券商所连地址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715" w:type="dxa"/>
            <w:noWrap w:val="0"/>
            <w:vAlign w:val="center"/>
          </w:tcPr>
          <w:p>
            <w:pPr>
              <w:spacing w:line="350" w:lineRule="exact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易境通</w:t>
            </w:r>
            <w:r>
              <w:rPr>
                <w:rFonts w:hint="eastAsia" w:ascii="楷体" w:hAnsi="楷体" w:eastAsia="楷体" w:cs="楷体"/>
                <w:szCs w:val="21"/>
              </w:rPr>
              <w:t>交易网关</w:t>
            </w:r>
          </w:p>
        </w:tc>
        <w:tc>
          <w:tcPr>
            <w:tcW w:w="4529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172.40.1.180（地面）：7002</w:t>
            </w:r>
          </w:p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172.60.1.180（地面）：7002</w:t>
            </w:r>
          </w:p>
        </w:tc>
        <w:tc>
          <w:tcPr>
            <w:tcW w:w="2624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境外券商所连地址</w:t>
            </w:r>
          </w:p>
        </w:tc>
      </w:tr>
    </w:tbl>
    <w:tbl>
      <w:tblPr>
        <w:tblStyle w:val="5"/>
        <w:tblpPr w:leftFromText="180" w:rightFromText="180" w:vertAnchor="text" w:horzAnchor="page" w:tblpX="1601" w:tblpY="212"/>
        <w:tblOverlap w:val="never"/>
        <w:tblW w:w="89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1"/>
        <w:gridCol w:w="1718"/>
        <w:gridCol w:w="845"/>
        <w:gridCol w:w="1932"/>
        <w:gridCol w:w="26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801" w:type="dxa"/>
            <w:vMerge w:val="restart"/>
            <w:noWrap w:val="0"/>
            <w:vAlign w:val="center"/>
          </w:tcPr>
          <w:p/>
          <w:p/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Cs w:val="21"/>
                <w:lang w:val="en-US" w:eastAsia="zh-CN"/>
              </w:rPr>
              <w:t>易境通行情网关</w:t>
            </w:r>
          </w:p>
        </w:tc>
        <w:tc>
          <w:tcPr>
            <w:tcW w:w="4495" w:type="dxa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172.60.1.110</w:t>
            </w: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:7004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left"/>
              <w:textAlignment w:val="auto"/>
              <w:rPr>
                <w:rFonts w:hint="default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172.40.1.110:7004</w:t>
            </w:r>
          </w:p>
        </w:tc>
        <w:tc>
          <w:tcPr>
            <w:tcW w:w="2624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TCP重传服务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shd w:val="clear" w:color="auto" w:fill="D7D7D7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组播地址</w:t>
            </w:r>
          </w:p>
        </w:tc>
        <w:tc>
          <w:tcPr>
            <w:tcW w:w="845" w:type="dxa"/>
            <w:shd w:val="clear" w:color="auto" w:fill="D7D7D7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端口</w:t>
            </w:r>
          </w:p>
        </w:tc>
        <w:tc>
          <w:tcPr>
            <w:tcW w:w="1932" w:type="dxa"/>
            <w:shd w:val="clear" w:color="auto" w:fill="D7D7D7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组播源地址</w:t>
            </w:r>
          </w:p>
        </w:tc>
        <w:tc>
          <w:tcPr>
            <w:tcW w:w="2624" w:type="dxa"/>
            <w:vMerge w:val="restar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default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易境通管理通道地址及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H股全流通&amp;B转H行情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组播IGMPv2</w:t>
            </w: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（地面线路）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230.30.106.1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6601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172.60.1.113</w:t>
            </w:r>
          </w:p>
        </w:tc>
        <w:tc>
          <w:tcPr>
            <w:tcW w:w="2624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230.30.103.1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6301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172.60.1.113</w:t>
            </w:r>
          </w:p>
        </w:tc>
        <w:tc>
          <w:tcPr>
            <w:tcW w:w="2624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230.30.106.2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6602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172.60.1.114</w:t>
            </w:r>
          </w:p>
        </w:tc>
        <w:tc>
          <w:tcPr>
            <w:tcW w:w="2624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230.30.103.2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6302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172.60.1.114</w:t>
            </w:r>
          </w:p>
        </w:tc>
        <w:tc>
          <w:tcPr>
            <w:tcW w:w="2624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230.30.106.3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6603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172.40.1.113</w:t>
            </w:r>
          </w:p>
        </w:tc>
        <w:tc>
          <w:tcPr>
            <w:tcW w:w="2624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230.30.103.3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6303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172.40.1.113</w:t>
            </w:r>
          </w:p>
        </w:tc>
        <w:tc>
          <w:tcPr>
            <w:tcW w:w="2624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230.30.106.4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6604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172.40.1.114</w:t>
            </w:r>
          </w:p>
        </w:tc>
        <w:tc>
          <w:tcPr>
            <w:tcW w:w="2624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230.30.103.4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6304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172.40.1.114</w:t>
            </w:r>
          </w:p>
        </w:tc>
        <w:tc>
          <w:tcPr>
            <w:tcW w:w="2624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230.30.150.1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6001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172.60.1.101</w:t>
            </w:r>
          </w:p>
        </w:tc>
        <w:tc>
          <w:tcPr>
            <w:tcW w:w="2624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公共数据通道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230.30.151.1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6101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172.60.1.101</w:t>
            </w:r>
          </w:p>
        </w:tc>
        <w:tc>
          <w:tcPr>
            <w:tcW w:w="2624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标准版数据通道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230.30.152.1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6201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172.60.1.99</w:t>
            </w:r>
          </w:p>
        </w:tc>
        <w:tc>
          <w:tcPr>
            <w:tcW w:w="2624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卓越版数据通道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230.30.150.2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6002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172.60.1.102</w:t>
            </w:r>
          </w:p>
        </w:tc>
        <w:tc>
          <w:tcPr>
            <w:tcW w:w="2624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公共数据通道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230.30.151.2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6102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172.60.1.102</w:t>
            </w:r>
          </w:p>
        </w:tc>
        <w:tc>
          <w:tcPr>
            <w:tcW w:w="2624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标准版数据通道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230.30.152.2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6202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172.60.1.98</w:t>
            </w:r>
          </w:p>
        </w:tc>
        <w:tc>
          <w:tcPr>
            <w:tcW w:w="2624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卓越版数据通道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230.30.150.3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6003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172.40.1.101</w:t>
            </w:r>
          </w:p>
        </w:tc>
        <w:tc>
          <w:tcPr>
            <w:tcW w:w="2624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公共数据通道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230.30.151.3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6103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172.40.1.101</w:t>
            </w:r>
          </w:p>
        </w:tc>
        <w:tc>
          <w:tcPr>
            <w:tcW w:w="2624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标准版数据通道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230.30.152.3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6203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172.40.1.99</w:t>
            </w:r>
          </w:p>
        </w:tc>
        <w:tc>
          <w:tcPr>
            <w:tcW w:w="2624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卓越版数据通道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230.30.150.4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6004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172.40.1.102</w:t>
            </w:r>
          </w:p>
        </w:tc>
        <w:tc>
          <w:tcPr>
            <w:tcW w:w="2624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公共数据通道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230.30.151.4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6104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172.40.1.102</w:t>
            </w:r>
          </w:p>
        </w:tc>
        <w:tc>
          <w:tcPr>
            <w:tcW w:w="2624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标准版数据通道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230.30.152.4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6204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172.40.1.98</w:t>
            </w:r>
          </w:p>
        </w:tc>
        <w:tc>
          <w:tcPr>
            <w:tcW w:w="2624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卓越版数据通道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shd w:val="clear" w:color="auto" w:fill="D7D7D7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组播地址</w:t>
            </w:r>
          </w:p>
        </w:tc>
        <w:tc>
          <w:tcPr>
            <w:tcW w:w="845" w:type="dxa"/>
            <w:shd w:val="clear" w:color="auto" w:fill="D7D7D7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端口</w:t>
            </w:r>
          </w:p>
        </w:tc>
        <w:tc>
          <w:tcPr>
            <w:tcW w:w="1932" w:type="dxa"/>
            <w:shd w:val="clear" w:color="auto" w:fill="D7D7D7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组播源地址</w:t>
            </w:r>
          </w:p>
        </w:tc>
        <w:tc>
          <w:tcPr>
            <w:tcW w:w="2624" w:type="dxa"/>
            <w:vMerge w:val="restar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易境通行情组播IGMPv2</w:t>
            </w: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（卫星线路）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vMerge w:val="restar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230.30.132.148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6701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192.168.14.103</w:t>
            </w:r>
          </w:p>
        </w:tc>
        <w:tc>
          <w:tcPr>
            <w:tcW w:w="2624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6401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192.168.14.103</w:t>
            </w:r>
          </w:p>
        </w:tc>
        <w:tc>
          <w:tcPr>
            <w:tcW w:w="2624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6702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192.168.14.104</w:t>
            </w:r>
          </w:p>
        </w:tc>
        <w:tc>
          <w:tcPr>
            <w:tcW w:w="2624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6402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192.168.14.104</w:t>
            </w:r>
          </w:p>
        </w:tc>
        <w:tc>
          <w:tcPr>
            <w:tcW w:w="2624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6703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192.168.14.103</w:t>
            </w:r>
          </w:p>
        </w:tc>
        <w:tc>
          <w:tcPr>
            <w:tcW w:w="2624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6403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192.168.14.103</w:t>
            </w:r>
          </w:p>
        </w:tc>
        <w:tc>
          <w:tcPr>
            <w:tcW w:w="2624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6704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192.168.14.104</w:t>
            </w:r>
          </w:p>
        </w:tc>
        <w:tc>
          <w:tcPr>
            <w:tcW w:w="2624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6404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192.168.14.104</w:t>
            </w:r>
          </w:p>
        </w:tc>
        <w:tc>
          <w:tcPr>
            <w:tcW w:w="2624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</w:tr>
    </w:tbl>
    <w:p>
      <w:pPr>
        <w:widowControl w:val="0"/>
        <w:numPr>
          <w:ilvl w:val="0"/>
          <w:numId w:val="0"/>
        </w:numPr>
        <w:tabs>
          <w:tab w:val="left" w:pos="840"/>
          <w:tab w:val="left" w:pos="928"/>
          <w:tab w:val="left" w:pos="1050"/>
        </w:tabs>
        <w:spacing w:line="560" w:lineRule="exact"/>
        <w:jc w:val="both"/>
        <w:rPr>
          <w:rFonts w:ascii="楷体_GB2312" w:eastAsia="楷体_GB2312"/>
          <w:color w:val="000000"/>
          <w:sz w:val="28"/>
          <w:szCs w:val="28"/>
        </w:rPr>
      </w:pPr>
    </w:p>
    <w:p>
      <w:pPr>
        <w:numPr>
          <w:ilvl w:val="0"/>
          <w:numId w:val="5"/>
        </w:numPr>
        <w:tabs>
          <w:tab w:val="left" w:pos="840"/>
          <w:tab w:val="left" w:pos="928"/>
          <w:tab w:val="left" w:pos="1050"/>
        </w:tabs>
        <w:ind w:left="0" w:firstLine="567"/>
        <w:rPr>
          <w:rFonts w:hint="eastAsia" w:ascii="楷体" w:hAnsi="楷体" w:eastAsia="楷体" w:cs="楷体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>接入港交所行情运营商线路带宽要求参考如下</w:t>
      </w:r>
      <w:r>
        <w:rPr>
          <w:rFonts w:hint="eastAsia" w:ascii="楷体" w:hAnsi="楷体" w:eastAsia="楷体" w:cs="楷体"/>
          <w:sz w:val="28"/>
          <w:szCs w:val="28"/>
          <w:highlight w:val="none"/>
          <w:lang w:val="en-US" w:eastAsia="zh-CN"/>
        </w:rPr>
        <w:t>：</w:t>
      </w:r>
    </w:p>
    <w:tbl>
      <w:tblPr>
        <w:tblStyle w:val="6"/>
        <w:tblW w:w="66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0"/>
        <w:gridCol w:w="31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3530" w:type="dxa"/>
            <w:shd w:val="clear" w:color="auto" w:fill="9CC2E5"/>
            <w:noWrap w:val="0"/>
            <w:vAlign w:val="top"/>
          </w:tcPr>
          <w:p>
            <w:pPr>
              <w:bidi w:val="0"/>
              <w:spacing w:line="480" w:lineRule="auto"/>
              <w:ind w:firstLine="0" w:firstLineChars="0"/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行情类型</w:t>
            </w:r>
          </w:p>
        </w:tc>
        <w:tc>
          <w:tcPr>
            <w:tcW w:w="3149" w:type="dxa"/>
            <w:shd w:val="clear" w:color="auto" w:fill="9CC2E5"/>
            <w:noWrap w:val="0"/>
            <w:vAlign w:val="top"/>
          </w:tcPr>
          <w:p>
            <w:pPr>
              <w:bidi w:val="0"/>
              <w:spacing w:line="480" w:lineRule="auto"/>
              <w:ind w:firstLine="0" w:firstLineChars="0"/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带宽要求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530" w:type="dxa"/>
            <w:noWrap w:val="0"/>
            <w:vAlign w:val="top"/>
          </w:tcPr>
          <w:p>
            <w:pPr>
              <w:bidi w:val="0"/>
              <w:spacing w:line="360" w:lineRule="auto"/>
              <w:ind w:firstLine="0" w:firstLineChars="0"/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港交所标准版行情</w:t>
            </w:r>
          </w:p>
        </w:tc>
        <w:tc>
          <w:tcPr>
            <w:tcW w:w="3149" w:type="dxa"/>
            <w:noWrap w:val="0"/>
            <w:vAlign w:val="top"/>
          </w:tcPr>
          <w:p>
            <w:pPr>
              <w:bidi w:val="0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最低8Mbps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3530" w:type="dxa"/>
            <w:noWrap w:val="0"/>
            <w:vAlign w:val="top"/>
          </w:tcPr>
          <w:p>
            <w:pPr>
              <w:bidi w:val="0"/>
              <w:spacing w:line="360" w:lineRule="auto"/>
              <w:ind w:firstLine="0" w:firstLineChars="0"/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港交所卓越版行情</w:t>
            </w:r>
          </w:p>
        </w:tc>
        <w:tc>
          <w:tcPr>
            <w:tcW w:w="3149" w:type="dxa"/>
            <w:noWrap w:val="0"/>
            <w:vAlign w:val="top"/>
          </w:tcPr>
          <w:p>
            <w:pPr>
              <w:bidi w:val="0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最低24Mbps</w:t>
            </w:r>
          </w:p>
        </w:tc>
      </w:tr>
    </w:tbl>
    <w:p>
      <w:pPr>
        <w:numPr>
          <w:ilvl w:val="0"/>
          <w:numId w:val="0"/>
        </w:numPr>
        <w:tabs>
          <w:tab w:val="left" w:pos="840"/>
          <w:tab w:val="left" w:pos="928"/>
          <w:tab w:val="left" w:pos="1050"/>
        </w:tabs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>用户须具备至少两条不同运营商（含托管接入）的网络接入线路， 分别接入增值业务网福田中心和南方中心。</w:t>
      </w:r>
    </w:p>
    <w:p>
      <w:pPr>
        <w:numPr>
          <w:ilvl w:val="0"/>
          <w:numId w:val="5"/>
        </w:numPr>
        <w:tabs>
          <w:tab w:val="left" w:pos="840"/>
          <w:tab w:val="left" w:pos="928"/>
          <w:tab w:val="left" w:pos="1050"/>
        </w:tabs>
        <w:ind w:left="0" w:firstLine="567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请各参测单位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根据自身技术系统情况，制定详尽的测试计划和操作流程。测试前</w:t>
      </w:r>
      <w:r>
        <w:rPr>
          <w:rFonts w:hint="eastAsia" w:ascii="楷体_GB2312" w:hAnsi="楷体_GB2312" w:eastAsia="楷体_GB2312" w:cs="楷体_GB2312"/>
          <w:sz w:val="28"/>
          <w:szCs w:val="28"/>
        </w:rPr>
        <w:t>先做好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线上系统和数据环境的保护工作</w:t>
      </w:r>
      <w:r>
        <w:rPr>
          <w:rFonts w:hint="eastAsia" w:ascii="楷体_GB2312" w:hAnsi="楷体_GB2312" w:eastAsia="楷体_GB2312" w:cs="楷体_GB2312"/>
          <w:sz w:val="28"/>
          <w:szCs w:val="28"/>
        </w:rPr>
        <w:t>，再准备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202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年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3月16日</w:t>
      </w:r>
      <w:r>
        <w:rPr>
          <w:rFonts w:hint="eastAsia" w:ascii="楷体_GB2312" w:hAnsi="楷体_GB2312" w:eastAsia="楷体_GB2312" w:cs="楷体_GB2312"/>
          <w:sz w:val="28"/>
          <w:szCs w:val="28"/>
        </w:rPr>
        <w:t>测试相关数据。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测试完成后做好线上系统和数据环境的恢复工作，确保下一交易日（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eastAsia="zh-CN"/>
        </w:rPr>
        <w:t>202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eastAsia="zh-CN"/>
        </w:rPr>
        <w:t>年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eastAsia="zh-CN"/>
        </w:rPr>
        <w:t>月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val="en-US" w:eastAsia="zh-CN"/>
        </w:rPr>
        <w:t>18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eastAsia="zh-CN"/>
        </w:rPr>
        <w:t>日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）生产系统的正确运行。</w:t>
      </w:r>
    </w:p>
    <w:p>
      <w:pPr>
        <w:numPr>
          <w:ilvl w:val="0"/>
          <w:numId w:val="5"/>
        </w:numPr>
        <w:tabs>
          <w:tab w:val="left" w:pos="840"/>
          <w:tab w:val="left" w:pos="928"/>
          <w:tab w:val="left" w:pos="1050"/>
        </w:tabs>
        <w:ind w:left="0" w:firstLine="567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本次测试的数据仅为模拟测试数据，与实际业务无任何关系，不能作为生产环境任何交易、非交易、账户等业务的依据。</w:t>
      </w:r>
    </w:p>
    <w:p>
      <w:pPr>
        <w:numPr>
          <w:ilvl w:val="255"/>
          <w:numId w:val="0"/>
        </w:numPr>
        <w:tabs>
          <w:tab w:val="left" w:pos="840"/>
          <w:tab w:val="left" w:pos="928"/>
          <w:tab w:val="left" w:pos="1050"/>
        </w:tabs>
        <w:ind w:left="567"/>
        <w:rPr>
          <w:rFonts w:ascii="楷体_GB2312" w:hAnsi="楷体_GB2312" w:eastAsia="楷体_GB2312" w:cs="楷体_GB2312"/>
          <w:sz w:val="28"/>
          <w:szCs w:val="28"/>
        </w:rPr>
      </w:pPr>
    </w:p>
    <w:p>
      <w:pPr>
        <w:numPr>
          <w:ilvl w:val="0"/>
          <w:numId w:val="1"/>
        </w:numPr>
        <w:ind w:left="0" w:firstLine="0"/>
        <w:outlineLvl w:val="0"/>
        <w:rPr>
          <w:rFonts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测试要求</w:t>
      </w:r>
    </w:p>
    <w:p>
      <w:pPr>
        <w:numPr>
          <w:ilvl w:val="0"/>
          <w:numId w:val="6"/>
        </w:numPr>
        <w:tabs>
          <w:tab w:val="left" w:pos="840"/>
          <w:tab w:val="left" w:pos="928"/>
          <w:tab w:val="left" w:pos="1050"/>
        </w:tabs>
        <w:ind w:left="0" w:firstLine="567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在测试过程中，请各参测单位详细记载测试现象与结果，检查其正确性。如发现异常现象，请及时报告。</w:t>
      </w:r>
    </w:p>
    <w:p/>
    <w:p/>
    <w:p>
      <w:pPr>
        <w:numPr>
          <w:ilvl w:val="0"/>
          <w:numId w:val="1"/>
        </w:numPr>
        <w:outlineLvl w:val="0"/>
        <w:rPr>
          <w:rFonts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联系</w:t>
      </w:r>
      <w:r>
        <w:rPr>
          <w:rFonts w:hint="eastAsia" w:ascii="楷体_GB2312" w:hAnsi="楷体_GB2312" w:eastAsia="楷体_GB2312" w:cs="楷体_GB2312"/>
          <w:b/>
          <w:sz w:val="28"/>
          <w:szCs w:val="28"/>
          <w:lang w:val="en-US" w:eastAsia="zh-CN"/>
        </w:rPr>
        <w:t>方式</w:t>
      </w:r>
    </w:p>
    <w:p>
      <w:pPr>
        <w:widowControl/>
        <w:spacing w:line="360" w:lineRule="atLeast"/>
        <w:ind w:firstLine="560" w:firstLineChars="200"/>
        <w:jc w:val="left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测试QQ群：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207424303</w:t>
      </w:r>
    </w:p>
    <w:p>
      <w:pPr>
        <w:widowControl/>
        <w:spacing w:line="360" w:lineRule="atLeast"/>
        <w:ind w:firstLine="560" w:firstLineChars="200"/>
        <w:jc w:val="left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测试技术支持</w:t>
      </w:r>
      <w:r>
        <w:rPr>
          <w:rFonts w:hint="eastAsia" w:ascii="楷体_GB2312" w:hAnsi="楷体_GB2312" w:eastAsia="楷体_GB2312" w:cs="楷体_GB2312"/>
          <w:sz w:val="28"/>
          <w:szCs w:val="28"/>
        </w:rPr>
        <w:t>电话：</w:t>
      </w:r>
    </w:p>
    <w:p>
      <w:pPr>
        <w:widowControl/>
        <w:spacing w:line="360" w:lineRule="atLeast"/>
        <w:ind w:firstLine="1120" w:firstLineChars="400"/>
        <w:jc w:val="left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0755-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83182222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深证通技术咨询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）</w:t>
      </w:r>
    </w:p>
    <w:p>
      <w:pPr>
        <w:widowControl/>
        <w:spacing w:line="360" w:lineRule="atLeast"/>
        <w:ind w:firstLine="1120" w:firstLineChars="400"/>
        <w:jc w:val="left"/>
        <w:rPr>
          <w:rFonts w:hint="eastAsia" w:ascii="楷体_GB2312" w:hAnsi="楷体_GB2312" w:eastAsia="楷体_GB2312" w:cs="楷体_GB2312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0755-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88666464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测试当日技术支持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）</w:t>
      </w:r>
    </w:p>
    <w:p>
      <w:pPr>
        <w:widowControl/>
        <w:spacing w:line="360" w:lineRule="atLeast"/>
        <w:ind w:firstLine="0" w:firstLineChars="0"/>
        <w:jc w:val="left"/>
        <w:rPr>
          <w:rFonts w:hint="default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 xml:space="preserve">    业务咨询电话：0755-88665500</w:t>
      </w:r>
    </w:p>
    <w:p>
      <w:pPr>
        <w:widowControl/>
        <w:spacing w:line="360" w:lineRule="atLeast"/>
        <w:ind w:firstLine="1120" w:firstLineChars="400"/>
        <w:jc w:val="left"/>
        <w:rPr>
          <w:rFonts w:hint="eastAsia" w:ascii="楷体_GB2312" w:hAnsi="楷体_GB2312" w:eastAsia="楷体_GB2312" w:cs="楷体_GB2312"/>
          <w:sz w:val="28"/>
          <w:szCs w:val="28"/>
        </w:rPr>
      </w:pPr>
    </w:p>
    <w:p>
      <w:pPr>
        <w:widowControl/>
        <w:spacing w:line="360" w:lineRule="atLeast"/>
        <w:ind w:firstLine="360"/>
        <w:jc w:val="right"/>
        <w:rPr>
          <w:rFonts w:ascii="楷体_GB2312" w:hAnsi="楷体_GB2312" w:eastAsia="楷体_GB2312" w:cs="楷体_GB2312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kern w:val="0"/>
          <w:sz w:val="28"/>
          <w:szCs w:val="28"/>
          <w:lang w:val="en-US" w:eastAsia="zh-CN"/>
        </w:rPr>
        <w:t>深圳证券通信有限</w:t>
      </w:r>
      <w:r>
        <w:rPr>
          <w:rFonts w:hint="eastAsia" w:ascii="楷体_GB2312" w:hAnsi="楷体_GB2312" w:eastAsia="楷体_GB2312" w:cs="楷体_GB2312"/>
          <w:kern w:val="0"/>
          <w:sz w:val="28"/>
          <w:szCs w:val="28"/>
        </w:rPr>
        <w:t>公司</w:t>
      </w:r>
    </w:p>
    <w:p>
      <w:pPr>
        <w:widowControl/>
        <w:spacing w:line="360" w:lineRule="atLeast"/>
        <w:ind w:firstLine="360"/>
        <w:jc w:val="right"/>
        <w:rPr>
          <w:rFonts w:hint="eastAsia" w:ascii="楷体_GB2312" w:hAnsi="楷体_GB2312" w:eastAsia="楷体_GB2312" w:cs="楷体_GB2312"/>
          <w:kern w:val="0"/>
          <w:sz w:val="28"/>
          <w:szCs w:val="28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楷体_GB2312" w:hAnsi="楷体_GB2312" w:eastAsia="楷体_GB2312" w:cs="楷体_GB2312"/>
          <w:kern w:val="0"/>
          <w:sz w:val="28"/>
          <w:szCs w:val="28"/>
          <w:lang w:eastAsia="zh-CN"/>
        </w:rPr>
        <w:t>202</w:t>
      </w:r>
      <w:r>
        <w:rPr>
          <w:rFonts w:hint="eastAsia" w:ascii="楷体_GB2312" w:hAnsi="楷体_GB2312" w:eastAsia="楷体_GB2312" w:cs="楷体_GB2312"/>
          <w:kern w:val="0"/>
          <w:sz w:val="28"/>
          <w:szCs w:val="28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kern w:val="0"/>
          <w:sz w:val="28"/>
          <w:szCs w:val="28"/>
          <w:lang w:eastAsia="zh-CN"/>
        </w:rPr>
        <w:t>年</w:t>
      </w:r>
      <w:r>
        <w:rPr>
          <w:rFonts w:hint="eastAsia" w:ascii="楷体_GB2312" w:hAnsi="楷体_GB2312" w:eastAsia="楷体_GB2312" w:cs="楷体_GB2312"/>
          <w:kern w:val="0"/>
          <w:sz w:val="28"/>
          <w:szCs w:val="28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kern w:val="0"/>
          <w:sz w:val="28"/>
          <w:szCs w:val="28"/>
          <w:lang w:eastAsia="zh-CN"/>
        </w:rPr>
        <w:t>月</w:t>
      </w:r>
      <w:r>
        <w:rPr>
          <w:rFonts w:hint="eastAsia" w:ascii="楷体_GB2312" w:hAnsi="楷体_GB2312" w:eastAsia="楷体_GB2312" w:cs="楷体_GB2312"/>
          <w:kern w:val="0"/>
          <w:sz w:val="28"/>
          <w:szCs w:val="28"/>
          <w:lang w:val="en-US" w:eastAsia="zh-CN"/>
        </w:rPr>
        <w:t>12</w:t>
      </w:r>
      <w:r>
        <w:rPr>
          <w:rFonts w:hint="eastAsia" w:ascii="楷体_GB2312" w:hAnsi="楷体_GB2312" w:eastAsia="楷体_GB2312" w:cs="楷体_GB2312"/>
          <w:kern w:val="0"/>
          <w:sz w:val="28"/>
          <w:szCs w:val="28"/>
          <w:lang w:eastAsia="zh-CN"/>
        </w:rPr>
        <w:t>日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left="0" w:leftChars="0" w:firstLine="0" w:firstLineChars="0"/>
        <w:jc w:val="center"/>
        <w:textAlignment w:val="auto"/>
        <w:outlineLvl w:val="0"/>
        <w:rPr>
          <w:rFonts w:hint="eastAsia" w:ascii="楷体_GB2312" w:eastAsia="楷体_GB2312"/>
          <w:b/>
          <w:sz w:val="30"/>
          <w:szCs w:val="30"/>
          <w:lang w:eastAsia="zh-CN"/>
        </w:rPr>
      </w:pPr>
      <w:bookmarkStart w:id="1" w:name="_Toc5224"/>
      <w:r>
        <w:rPr>
          <w:rFonts w:hint="eastAsia" w:ascii="楷体_GB2312" w:hAnsi="Times New Roman" w:eastAsia="楷体_GB2312" w:cs="Times New Roman"/>
          <w:b/>
          <w:sz w:val="30"/>
          <w:szCs w:val="30"/>
          <w:lang w:val="en-US" w:eastAsia="zh-CN"/>
        </w:rPr>
        <w:t>港股行情业务应用准入测试反馈表</w:t>
      </w:r>
      <w:bookmarkEnd w:id="1"/>
    </w:p>
    <w:tbl>
      <w:tblPr>
        <w:tblStyle w:val="5"/>
        <w:tblW w:w="83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740"/>
        <w:gridCol w:w="927"/>
        <w:gridCol w:w="253"/>
        <w:gridCol w:w="21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</w:rPr>
              <w:t>参测公司名称</w:t>
            </w:r>
          </w:p>
        </w:tc>
        <w:tc>
          <w:tcPr>
            <w:tcW w:w="6119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44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</w:rPr>
              <w:t>联系人</w:t>
            </w:r>
          </w:p>
        </w:tc>
        <w:tc>
          <w:tcPr>
            <w:tcW w:w="27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44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</w:p>
        </w:tc>
        <w:tc>
          <w:tcPr>
            <w:tcW w:w="118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left="0" w:leftChars="0" w:firstLine="0" w:firstLineChars="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</w:rPr>
              <w:t>联系电话</w:t>
            </w:r>
          </w:p>
        </w:tc>
        <w:tc>
          <w:tcPr>
            <w:tcW w:w="21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44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</w:rPr>
              <w:t>Email地址</w:t>
            </w:r>
          </w:p>
        </w:tc>
        <w:tc>
          <w:tcPr>
            <w:tcW w:w="6119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44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15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textAlignment w:val="auto"/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简称说明：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440" w:firstLineChars="200"/>
              <w:textAlignment w:val="auto"/>
              <w:rPr>
                <w:rFonts w:hint="default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  <w:t>以下将《HKEX_OMDC_Binary_Interface_Specifications》简称为“《OMDC Spec》”，将《OMDC Readiness Test Answer Book》简称为“《Answer Book》”，部分测试用例的详细说明可参考这两份文档。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315" w:type="dxa"/>
            <w:gridSpan w:val="5"/>
            <w:shd w:val="clear" w:color="auto" w:fill="D7D7D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left"/>
              <w:textAlignment w:val="auto"/>
              <w:rPr>
                <w:rFonts w:hint="default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sz w:val="22"/>
                <w:szCs w:val="28"/>
                <w:lang w:val="en-US" w:eastAsia="zh-CN"/>
              </w:rPr>
              <w:t>一、系统登录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8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left"/>
              <w:textAlignment w:val="auto"/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  <w:t>Case 1.1: CQG使用EKey成功登录CQS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180" w:firstLineChars="100"/>
              <w:jc w:val="left"/>
              <w:textAlignment w:val="auto"/>
              <w:rPr>
                <w:rFonts w:hint="default" w:ascii="楷体_GB2312" w:hAnsi="Times New Roman" w:eastAsia="楷体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  <w:t>注：只能在生产环境的全网测试时验证</w:t>
            </w:r>
          </w:p>
        </w:tc>
        <w:tc>
          <w:tcPr>
            <w:tcW w:w="24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sz w:val="22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8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left"/>
              <w:textAlignment w:val="auto"/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  <w:t>Case 1.2: CQG使用软加密模式成功登录CQS</w:t>
            </w:r>
          </w:p>
        </w:tc>
        <w:tc>
          <w:tcPr>
            <w:tcW w:w="24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8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left"/>
              <w:textAlignment w:val="auto"/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  <w:t>Case 1.3: VSS成功登录CQG</w:t>
            </w:r>
          </w:p>
        </w:tc>
        <w:tc>
          <w:tcPr>
            <w:tcW w:w="24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315" w:type="dxa"/>
            <w:gridSpan w:val="5"/>
            <w:shd w:val="clear" w:color="auto" w:fill="D7D7D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left"/>
              <w:textAlignment w:val="auto"/>
              <w:rPr>
                <w:rFonts w:hint="eastAsia" w:ascii="楷体_GB2312" w:hAnsi="Times New Roman" w:eastAsia="楷体_GB2312" w:cs="Times New Roman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b/>
                <w:bCs/>
                <w:sz w:val="22"/>
                <w:szCs w:val="28"/>
                <w:lang w:val="en-US" w:eastAsia="zh-CN"/>
              </w:rPr>
              <w:t>二、消息解析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58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left"/>
              <w:textAlignment w:val="auto"/>
              <w:rPr>
                <w:rFonts w:hint="default" w:ascii="楷体_GB2312" w:hAnsi="Times New Roman" w:eastAsia="楷体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  <w:t>Case 2.1.1：解析来自CQG的消息结构，获取消息体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180" w:firstLineChars="100"/>
              <w:jc w:val="left"/>
              <w:textAlignment w:val="auto"/>
              <w:rPr>
                <w:rFonts w:hint="eastAsia" w:ascii="楷体_GB2312" w:hAnsi="Times New Roman" w:eastAsia="楷体_GB2312" w:cs="Times New Roman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  <w:t>规范定义：《港交所Binary行情数据接口规范》4.2</w:t>
            </w:r>
          </w:p>
        </w:tc>
        <w:tc>
          <w:tcPr>
            <w:tcW w:w="24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58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left"/>
              <w:textAlignment w:val="auto"/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  <w:t>Case 2.1.2：频道心跳（Heartbeat）消息处理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180" w:firstLineChars="100"/>
              <w:jc w:val="left"/>
              <w:textAlignment w:val="auto"/>
              <w:rPr>
                <w:rFonts w:hint="eastAsia" w:ascii="楷体_GB2312" w:hAnsi="Times New Roman" w:eastAsia="楷体_GB2312" w:cs="Times New Roman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  <w:t>规范定义：《港交所Binary行情数据接口规范》4.3.3</w:t>
            </w:r>
          </w:p>
        </w:tc>
        <w:tc>
          <w:tcPr>
            <w:tcW w:w="24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58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left"/>
              <w:textAlignment w:val="auto"/>
              <w:rPr>
                <w:rFonts w:hint="default" w:ascii="楷体_GB2312" w:hAnsi="Times New Roman" w:eastAsia="楷体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  <w:t>Case 2.1.3：业务拒绝（</w:t>
            </w:r>
            <w:r>
              <w:rPr>
                <w:rFonts w:hint="default" w:ascii="楷体_GB2312" w:hAnsi="Times New Roman" w:eastAsia="楷体_GB2312" w:cs="Times New Roman"/>
                <w:sz w:val="22"/>
                <w:szCs w:val="28"/>
                <w:lang w:val="en-US" w:eastAsia="zh-CN"/>
              </w:rPr>
              <w:t>Business Reject</w:t>
            </w:r>
            <w:r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  <w:t>）消息处理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180" w:firstLineChars="100"/>
              <w:jc w:val="left"/>
              <w:textAlignment w:val="auto"/>
              <w:rPr>
                <w:rFonts w:hint="default" w:ascii="楷体_GB2312" w:hAnsi="Times New Roman" w:eastAsia="楷体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  <w:t>规范定义：《港交所Binary行情数据接口规范》4.4.3</w:t>
            </w:r>
          </w:p>
        </w:tc>
        <w:tc>
          <w:tcPr>
            <w:tcW w:w="24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58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left"/>
              <w:textAlignment w:val="auto"/>
              <w:rPr>
                <w:rFonts w:hint="default" w:ascii="楷体_GB2312" w:hAnsi="Times New Roman" w:eastAsia="楷体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  <w:t>Case 2.2.1：解析Market Definition 消息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180" w:firstLineChars="100"/>
              <w:jc w:val="left"/>
              <w:textAlignment w:val="auto"/>
              <w:rPr>
                <w:rFonts w:hint="default" w:ascii="楷体_GB2312" w:hAnsi="Times New Roman" w:eastAsia="楷体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  <w:t>规范定义：《OMDC Spec》message type 10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180" w:firstLineChars="100"/>
              <w:jc w:val="left"/>
              <w:textAlignment w:val="auto"/>
              <w:rPr>
                <w:rFonts w:hint="default" w:ascii="楷体_GB2312" w:hAnsi="Times New Roman" w:eastAsia="楷体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  <w:t>参考用例：《Answer Book》Session 1 Test case 1</w:t>
            </w:r>
          </w:p>
        </w:tc>
        <w:tc>
          <w:tcPr>
            <w:tcW w:w="24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58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left"/>
              <w:textAlignment w:val="auto"/>
              <w:rPr>
                <w:rFonts w:hint="default" w:ascii="楷体_GB2312" w:hAnsi="Times New Roman" w:eastAsia="楷体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  <w:t>Case 2.2.2：解析</w:t>
            </w:r>
            <w:r>
              <w:rPr>
                <w:rFonts w:hint="default" w:ascii="楷体_GB2312" w:hAnsi="Times New Roman" w:eastAsia="楷体_GB2312" w:cs="Times New Roman"/>
                <w:sz w:val="22"/>
                <w:szCs w:val="28"/>
                <w:lang w:val="en-US" w:eastAsia="zh-CN"/>
              </w:rPr>
              <w:t>Securities Definition</w:t>
            </w:r>
            <w:r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  <w:t>消息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180" w:firstLineChars="100"/>
              <w:jc w:val="left"/>
              <w:textAlignment w:val="auto"/>
              <w:rPr>
                <w:rFonts w:hint="default" w:ascii="楷体_GB2312" w:hAnsi="Times New Roman" w:eastAsia="楷体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  <w:t>规范定义：《OMDC Spec》message type 11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180" w:firstLineChars="100"/>
              <w:jc w:val="left"/>
              <w:textAlignment w:val="auto"/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  <w:t>参考用例：《Answer Book》Session 1 Test case 2</w:t>
            </w:r>
          </w:p>
        </w:tc>
        <w:tc>
          <w:tcPr>
            <w:tcW w:w="24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58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left"/>
              <w:textAlignment w:val="auto"/>
              <w:rPr>
                <w:rFonts w:hint="default" w:ascii="楷体_GB2312" w:hAnsi="Times New Roman" w:eastAsia="楷体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  <w:t>Case 2.2.3：解析</w:t>
            </w:r>
            <w:r>
              <w:rPr>
                <w:rFonts w:hint="default" w:ascii="楷体_GB2312" w:hAnsi="Times New Roman" w:eastAsia="楷体_GB2312" w:cs="Times New Roman"/>
                <w:sz w:val="22"/>
                <w:szCs w:val="28"/>
                <w:lang w:val="en-US" w:eastAsia="zh-CN"/>
              </w:rPr>
              <w:t>Liquidity Provider</w:t>
            </w:r>
            <w:r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  <w:t>消息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180" w:firstLineChars="100"/>
              <w:jc w:val="left"/>
              <w:textAlignment w:val="auto"/>
              <w:rPr>
                <w:rFonts w:hint="default" w:ascii="楷体_GB2312" w:hAnsi="Times New Roman" w:eastAsia="楷体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  <w:t>规范定义：《OMDC Spec》message type 13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180" w:firstLineChars="100"/>
              <w:jc w:val="left"/>
              <w:textAlignment w:val="auto"/>
              <w:rPr>
                <w:rFonts w:hint="eastAsia" w:ascii="楷体_GB2312" w:hAnsi="Times New Roman" w:eastAsia="楷体_GB2312" w:cs="Times New Roman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  <w:t>参考用例：《Answer Book》Session 1 Test case 3</w:t>
            </w:r>
          </w:p>
        </w:tc>
        <w:tc>
          <w:tcPr>
            <w:tcW w:w="24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58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left"/>
              <w:textAlignment w:val="auto"/>
              <w:rPr>
                <w:rFonts w:hint="default" w:ascii="楷体_GB2312" w:hAnsi="Times New Roman" w:eastAsia="楷体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  <w:t>Case 2.2.4：解析</w:t>
            </w:r>
            <w:r>
              <w:rPr>
                <w:rFonts w:hint="default" w:ascii="楷体_GB2312" w:hAnsi="Times New Roman" w:eastAsia="楷体_GB2312" w:cs="Times New Roman"/>
                <w:sz w:val="22"/>
                <w:szCs w:val="28"/>
                <w:lang w:val="en-US" w:eastAsia="zh-CN"/>
              </w:rPr>
              <w:t>Currency Rate</w:t>
            </w:r>
            <w:r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  <w:t>消息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180" w:firstLineChars="100"/>
              <w:jc w:val="left"/>
              <w:textAlignment w:val="auto"/>
              <w:rPr>
                <w:rFonts w:hint="default" w:ascii="楷体_GB2312" w:hAnsi="Times New Roman" w:eastAsia="楷体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  <w:t>规范定义：《OMDC Spec》message type 14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180" w:firstLineChars="100"/>
              <w:jc w:val="left"/>
              <w:textAlignment w:val="auto"/>
              <w:rPr>
                <w:rFonts w:hint="eastAsia" w:ascii="楷体_GB2312" w:hAnsi="Times New Roman" w:eastAsia="楷体_GB2312" w:cs="Times New Roman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  <w:t>参考用例：《Answer Book》Session 1 Test case 4</w:t>
            </w:r>
          </w:p>
        </w:tc>
        <w:tc>
          <w:tcPr>
            <w:tcW w:w="24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58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left"/>
              <w:textAlignment w:val="auto"/>
              <w:rPr>
                <w:rFonts w:hint="default" w:ascii="楷体_GB2312" w:hAnsi="Times New Roman" w:eastAsia="楷体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  <w:t>Case 2.2.5：解析</w:t>
            </w:r>
            <w:r>
              <w:rPr>
                <w:rFonts w:hint="default" w:ascii="楷体_GB2312" w:hAnsi="Times New Roman" w:eastAsia="楷体_GB2312" w:cs="Times New Roman"/>
                <w:sz w:val="22"/>
                <w:szCs w:val="28"/>
                <w:lang w:val="en-US" w:eastAsia="zh-CN"/>
              </w:rPr>
              <w:t>Trading Session Status</w:t>
            </w:r>
            <w:r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  <w:t>消息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180" w:firstLineChars="100"/>
              <w:jc w:val="left"/>
              <w:textAlignment w:val="auto"/>
              <w:rPr>
                <w:rFonts w:hint="default" w:ascii="楷体_GB2312" w:hAnsi="Times New Roman" w:eastAsia="楷体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  <w:t>规范定义：《OMDC Spec》message type 20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180" w:firstLineChars="100"/>
              <w:jc w:val="left"/>
              <w:textAlignment w:val="auto"/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  <w:t>参考用例：《Answer Book》Session 1 Test case 5</w:t>
            </w:r>
          </w:p>
        </w:tc>
        <w:tc>
          <w:tcPr>
            <w:tcW w:w="24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58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left"/>
              <w:textAlignment w:val="auto"/>
              <w:rPr>
                <w:rFonts w:hint="default" w:ascii="楷体_GB2312" w:hAnsi="Times New Roman" w:eastAsia="楷体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  <w:t>Case 2.2.6：解析</w:t>
            </w:r>
            <w:r>
              <w:rPr>
                <w:rFonts w:hint="default" w:ascii="楷体_GB2312" w:hAnsi="Times New Roman" w:eastAsia="楷体_GB2312" w:cs="Times New Roman"/>
                <w:sz w:val="22"/>
                <w:szCs w:val="28"/>
                <w:lang w:val="en-US" w:eastAsia="zh-CN"/>
              </w:rPr>
              <w:t>Security Status</w:t>
            </w:r>
            <w:r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  <w:t xml:space="preserve"> 消息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180" w:firstLineChars="100"/>
              <w:jc w:val="left"/>
              <w:textAlignment w:val="auto"/>
              <w:rPr>
                <w:rFonts w:hint="default" w:ascii="楷体_GB2312" w:hAnsi="Times New Roman" w:eastAsia="楷体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  <w:t>规范定义：《OMDC Spec》message type 21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180" w:firstLineChars="100"/>
              <w:jc w:val="left"/>
              <w:textAlignment w:val="auto"/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  <w:t>参考用例：《Answer Book》Session 1 Test case 6</w:t>
            </w:r>
          </w:p>
        </w:tc>
        <w:tc>
          <w:tcPr>
            <w:tcW w:w="24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58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left"/>
              <w:textAlignment w:val="auto"/>
              <w:rPr>
                <w:rFonts w:hint="default" w:ascii="楷体_GB2312" w:hAnsi="Times New Roman" w:eastAsia="楷体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  <w:t>Case 2.2.7：解析</w:t>
            </w:r>
            <w:r>
              <w:rPr>
                <w:rFonts w:hint="default" w:ascii="楷体_GB2312" w:hAnsi="Times New Roman" w:eastAsia="楷体_GB2312" w:cs="Times New Roman"/>
                <w:sz w:val="22"/>
                <w:szCs w:val="28"/>
                <w:lang w:val="en-US" w:eastAsia="zh-CN"/>
              </w:rPr>
              <w:t>Closing Price</w:t>
            </w:r>
            <w:r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  <w:t xml:space="preserve"> 消息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180" w:firstLineChars="100"/>
              <w:jc w:val="left"/>
              <w:textAlignment w:val="auto"/>
              <w:rPr>
                <w:rFonts w:hint="default" w:ascii="楷体_GB2312" w:hAnsi="Times New Roman" w:eastAsia="楷体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  <w:t>规范定义：《OMDC Spec》message type 62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180" w:firstLineChars="100"/>
              <w:jc w:val="left"/>
              <w:textAlignment w:val="auto"/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  <w:t>参考用例：《Answer Book》Session 1 Test case 7</w:t>
            </w:r>
          </w:p>
        </w:tc>
        <w:tc>
          <w:tcPr>
            <w:tcW w:w="24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58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left"/>
              <w:textAlignment w:val="auto"/>
              <w:rPr>
                <w:rFonts w:hint="default" w:ascii="楷体_GB2312" w:hAnsi="Times New Roman" w:eastAsia="楷体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  <w:t>Case 2.2.8：解析</w:t>
            </w:r>
            <w:r>
              <w:rPr>
                <w:rFonts w:hint="default" w:ascii="楷体_GB2312" w:hAnsi="Times New Roman" w:eastAsia="楷体_GB2312" w:cs="Times New Roman"/>
                <w:sz w:val="22"/>
                <w:szCs w:val="28"/>
                <w:lang w:val="en-US" w:eastAsia="zh-CN"/>
              </w:rPr>
              <w:t>Norminal Price</w:t>
            </w:r>
            <w:r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  <w:t>消息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180" w:firstLineChars="100"/>
              <w:jc w:val="left"/>
              <w:textAlignment w:val="auto"/>
              <w:rPr>
                <w:rFonts w:hint="default" w:ascii="楷体_GB2312" w:hAnsi="Times New Roman" w:eastAsia="楷体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  <w:t>规范定义：《OMDC Spec》message type 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180" w:firstLineChars="100"/>
              <w:jc w:val="left"/>
              <w:textAlignment w:val="auto"/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  <w:t>参考用例：《Answer Book》Session 1 Test case 8</w:t>
            </w:r>
          </w:p>
        </w:tc>
        <w:tc>
          <w:tcPr>
            <w:tcW w:w="24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58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left"/>
              <w:textAlignment w:val="auto"/>
              <w:rPr>
                <w:rFonts w:hint="default" w:ascii="楷体_GB2312" w:hAnsi="Times New Roman" w:eastAsia="楷体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  <w:t>Case 2.2.9：解析</w:t>
            </w:r>
            <w:r>
              <w:rPr>
                <w:rFonts w:hint="default" w:ascii="楷体_GB2312" w:hAnsi="Times New Roman" w:eastAsia="楷体_GB2312" w:cs="Times New Roman"/>
                <w:sz w:val="22"/>
                <w:szCs w:val="28"/>
                <w:lang w:val="en-US" w:eastAsia="zh-CN"/>
              </w:rPr>
              <w:t>Indicative Equilibrium Price</w:t>
            </w:r>
            <w:r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  <w:t xml:space="preserve"> 消息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180" w:firstLineChars="100"/>
              <w:jc w:val="left"/>
              <w:textAlignment w:val="auto"/>
              <w:rPr>
                <w:rFonts w:hint="default" w:ascii="楷体_GB2312" w:hAnsi="Times New Roman" w:eastAsia="楷体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  <w:t>规范定义：《OMDC Spec》message type 41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180" w:firstLineChars="100"/>
              <w:jc w:val="left"/>
              <w:textAlignment w:val="auto"/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  <w:t>参考用例：《Answer Book》Session 1 Test case 9</w:t>
            </w:r>
          </w:p>
        </w:tc>
        <w:tc>
          <w:tcPr>
            <w:tcW w:w="24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58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left"/>
              <w:textAlignment w:val="auto"/>
              <w:rPr>
                <w:rFonts w:hint="default" w:ascii="楷体_GB2312" w:hAnsi="Times New Roman" w:eastAsia="楷体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  <w:t>Case 2.2.10：解析</w:t>
            </w:r>
            <w:r>
              <w:rPr>
                <w:rFonts w:hint="default" w:ascii="楷体_GB2312" w:hAnsi="Times New Roman" w:eastAsia="楷体_GB2312" w:cs="Times New Roman"/>
                <w:sz w:val="22"/>
                <w:szCs w:val="28"/>
                <w:lang w:val="en-US" w:eastAsia="zh-CN"/>
              </w:rPr>
              <w:t>Reference Price</w:t>
            </w:r>
            <w:r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  <w:t xml:space="preserve"> 消息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180" w:firstLineChars="100"/>
              <w:jc w:val="left"/>
              <w:textAlignment w:val="auto"/>
              <w:rPr>
                <w:rFonts w:hint="default" w:ascii="楷体_GB2312" w:hAnsi="Times New Roman" w:eastAsia="楷体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  <w:t>规范定义：《OMDC Spec》message type 43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180" w:firstLineChars="100"/>
              <w:jc w:val="left"/>
              <w:textAlignment w:val="auto"/>
              <w:rPr>
                <w:rFonts w:hint="default" w:ascii="楷体_GB2312" w:hAnsi="Times New Roman" w:eastAsia="楷体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  <w:t>参考用例：《Answer Book》Session 1 Test case 10</w:t>
            </w:r>
          </w:p>
        </w:tc>
        <w:tc>
          <w:tcPr>
            <w:tcW w:w="24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58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left"/>
              <w:textAlignment w:val="auto"/>
              <w:rPr>
                <w:rFonts w:hint="default" w:ascii="楷体_GB2312" w:hAnsi="Times New Roman" w:eastAsia="楷体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  <w:t>Case 2.2.11：解析</w:t>
            </w:r>
            <w:r>
              <w:rPr>
                <w:rFonts w:hint="default" w:ascii="楷体_GB2312" w:hAnsi="Times New Roman" w:eastAsia="楷体_GB2312" w:cs="Times New Roman"/>
                <w:sz w:val="22"/>
                <w:szCs w:val="28"/>
                <w:lang w:val="en-US" w:eastAsia="zh-CN"/>
              </w:rPr>
              <w:t>VCM Trigger</w:t>
            </w:r>
            <w:r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  <w:t>消息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180" w:firstLineChars="100"/>
              <w:jc w:val="left"/>
              <w:textAlignment w:val="auto"/>
              <w:rPr>
                <w:rFonts w:hint="default" w:ascii="楷体_GB2312" w:hAnsi="Times New Roman" w:eastAsia="楷体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  <w:t>规范定义：《OMDC Spec》message type 23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180" w:firstLineChars="100"/>
              <w:jc w:val="left"/>
              <w:textAlignment w:val="auto"/>
              <w:rPr>
                <w:rFonts w:hint="default" w:ascii="楷体_GB2312" w:hAnsi="Times New Roman" w:eastAsia="楷体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  <w:t>参考用例：《Answer Book》Session 1 Test case 11</w:t>
            </w:r>
          </w:p>
        </w:tc>
        <w:tc>
          <w:tcPr>
            <w:tcW w:w="24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58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left"/>
              <w:textAlignment w:val="auto"/>
              <w:rPr>
                <w:rFonts w:hint="default" w:ascii="楷体_GB2312" w:hAnsi="Times New Roman" w:eastAsia="楷体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  <w:t>Case 2.2.12：解析</w:t>
            </w:r>
            <w:r>
              <w:rPr>
                <w:rFonts w:hint="default" w:ascii="楷体_GB2312" w:hAnsi="Times New Roman" w:eastAsia="楷体_GB2312" w:cs="Times New Roman"/>
                <w:sz w:val="22"/>
                <w:szCs w:val="28"/>
                <w:lang w:val="en-US" w:eastAsia="zh-CN"/>
              </w:rPr>
              <w:t>Statistics</w:t>
            </w:r>
            <w:r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  <w:t xml:space="preserve"> 消息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180" w:firstLineChars="100"/>
              <w:jc w:val="left"/>
              <w:textAlignment w:val="auto"/>
              <w:rPr>
                <w:rFonts w:hint="default" w:ascii="楷体_GB2312" w:hAnsi="Times New Roman" w:eastAsia="楷体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  <w:t>规范定义：《OMDC Spec》message type 60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180" w:firstLineChars="100"/>
              <w:jc w:val="left"/>
              <w:textAlignment w:val="auto"/>
              <w:rPr>
                <w:rFonts w:hint="default" w:ascii="楷体_GB2312" w:hAnsi="Times New Roman" w:eastAsia="楷体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  <w:t>参考用例：《Answer Book》Session 1 Test case 12</w:t>
            </w:r>
          </w:p>
        </w:tc>
        <w:tc>
          <w:tcPr>
            <w:tcW w:w="24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58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left"/>
              <w:textAlignment w:val="auto"/>
              <w:rPr>
                <w:rFonts w:hint="default" w:ascii="楷体_GB2312" w:hAnsi="Times New Roman" w:eastAsia="楷体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  <w:t>Case 2.2.13：解析</w:t>
            </w:r>
            <w:r>
              <w:rPr>
                <w:rFonts w:hint="default" w:ascii="楷体_GB2312" w:hAnsi="Times New Roman" w:eastAsia="楷体_GB2312" w:cs="Times New Roman"/>
                <w:sz w:val="22"/>
                <w:szCs w:val="28"/>
                <w:lang w:val="en-US" w:eastAsia="zh-CN"/>
              </w:rPr>
              <w:t>Market Turnover</w:t>
            </w:r>
            <w:r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  <w:t xml:space="preserve"> 消息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180" w:firstLineChars="100"/>
              <w:jc w:val="left"/>
              <w:textAlignment w:val="auto"/>
              <w:rPr>
                <w:rFonts w:hint="default" w:ascii="楷体_GB2312" w:hAnsi="Times New Roman" w:eastAsia="楷体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  <w:t>规范定义：《OMDC Spec》message type 61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180" w:firstLineChars="100"/>
              <w:jc w:val="left"/>
              <w:textAlignment w:val="auto"/>
              <w:rPr>
                <w:rFonts w:hint="default" w:ascii="楷体_GB2312" w:hAnsi="Times New Roman" w:eastAsia="楷体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  <w:t>参考用例：《Answer Book》Session 1 Test case 13</w:t>
            </w:r>
          </w:p>
        </w:tc>
        <w:tc>
          <w:tcPr>
            <w:tcW w:w="24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58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left"/>
              <w:textAlignment w:val="auto"/>
              <w:rPr>
                <w:rFonts w:hint="default" w:ascii="楷体_GB2312" w:hAnsi="Times New Roman" w:eastAsia="楷体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  <w:t>Case 2.2.14：解析</w:t>
            </w:r>
            <w:r>
              <w:rPr>
                <w:rFonts w:hint="default" w:ascii="楷体_GB2312" w:hAnsi="Times New Roman" w:eastAsia="楷体_GB2312" w:cs="Times New Roman"/>
                <w:sz w:val="22"/>
                <w:szCs w:val="28"/>
                <w:lang w:val="en-US" w:eastAsia="zh-CN"/>
              </w:rPr>
              <w:t>Yield</w:t>
            </w:r>
            <w:r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  <w:t xml:space="preserve"> 消息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180" w:firstLineChars="100"/>
              <w:jc w:val="left"/>
              <w:textAlignment w:val="auto"/>
              <w:rPr>
                <w:rFonts w:hint="default" w:ascii="楷体_GB2312" w:hAnsi="Times New Roman" w:eastAsia="楷体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  <w:t>规范定义：《OMDC Spec》message type 44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180" w:firstLineChars="100"/>
              <w:jc w:val="left"/>
              <w:textAlignment w:val="auto"/>
              <w:rPr>
                <w:rFonts w:hint="default" w:ascii="楷体_GB2312" w:hAnsi="Times New Roman" w:eastAsia="楷体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  <w:t>参考用例：《Answer Book》Session 1 Test case 14</w:t>
            </w:r>
          </w:p>
        </w:tc>
        <w:tc>
          <w:tcPr>
            <w:tcW w:w="24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58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left"/>
              <w:textAlignment w:val="auto"/>
              <w:rPr>
                <w:rFonts w:hint="default" w:ascii="楷体_GB2312" w:hAnsi="Times New Roman" w:eastAsia="楷体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  <w:t>Case 2.2.15：解析</w:t>
            </w:r>
            <w:r>
              <w:rPr>
                <w:rFonts w:hint="default" w:ascii="楷体_GB2312" w:hAnsi="Times New Roman" w:eastAsia="楷体_GB2312" w:cs="Times New Roman"/>
                <w:sz w:val="22"/>
                <w:szCs w:val="28"/>
                <w:lang w:val="en-US" w:eastAsia="zh-CN"/>
              </w:rPr>
              <w:t>News</w:t>
            </w:r>
            <w:r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  <w:t>消息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180" w:firstLineChars="100"/>
              <w:jc w:val="left"/>
              <w:textAlignment w:val="auto"/>
              <w:rPr>
                <w:rFonts w:hint="default" w:ascii="楷体_GB2312" w:hAnsi="Times New Roman" w:eastAsia="楷体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  <w:t>规范定义：《OMDC Spec》message type 22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180" w:firstLineChars="100"/>
              <w:jc w:val="left"/>
              <w:textAlignment w:val="auto"/>
              <w:rPr>
                <w:rFonts w:hint="default" w:ascii="楷体_GB2312" w:hAnsi="Times New Roman" w:eastAsia="楷体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  <w:t>参考用例：《Answer Book》Session 1 Test case 15</w:t>
            </w:r>
          </w:p>
        </w:tc>
        <w:tc>
          <w:tcPr>
            <w:tcW w:w="24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58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left"/>
              <w:textAlignment w:val="auto"/>
              <w:rPr>
                <w:rFonts w:hint="default" w:ascii="楷体_GB2312" w:hAnsi="Times New Roman" w:eastAsia="楷体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  <w:t>Case 2.2.16：解析</w:t>
            </w:r>
            <w:r>
              <w:rPr>
                <w:rFonts w:hint="default" w:ascii="楷体_GB2312" w:hAnsi="Times New Roman" w:eastAsia="楷体_GB2312" w:cs="Times New Roman"/>
                <w:sz w:val="22"/>
                <w:szCs w:val="28"/>
                <w:lang w:val="en-US" w:eastAsia="zh-CN"/>
              </w:rPr>
              <w:t>Index Definition</w:t>
            </w:r>
            <w:r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  <w:t xml:space="preserve"> 消息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180" w:firstLineChars="100"/>
              <w:jc w:val="left"/>
              <w:textAlignment w:val="auto"/>
              <w:rPr>
                <w:rFonts w:hint="default" w:ascii="楷体_GB2312" w:hAnsi="Times New Roman" w:eastAsia="楷体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  <w:t>规范定义：《OMDC Spec》message type 70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180" w:firstLineChars="100"/>
              <w:jc w:val="left"/>
              <w:textAlignment w:val="auto"/>
              <w:rPr>
                <w:rFonts w:hint="default" w:ascii="楷体_GB2312" w:hAnsi="Times New Roman" w:eastAsia="楷体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  <w:t>参考用例：《Answer Book》Session 1 Test case 16</w:t>
            </w:r>
          </w:p>
        </w:tc>
        <w:tc>
          <w:tcPr>
            <w:tcW w:w="24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58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left"/>
              <w:textAlignment w:val="auto"/>
              <w:rPr>
                <w:rFonts w:hint="default" w:ascii="楷体_GB2312" w:hAnsi="Times New Roman" w:eastAsia="楷体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  <w:t>Case 2.2.17：解析</w:t>
            </w:r>
            <w:r>
              <w:rPr>
                <w:rFonts w:hint="default" w:ascii="楷体_GB2312" w:hAnsi="Times New Roman" w:eastAsia="楷体_GB2312" w:cs="Times New Roman"/>
                <w:sz w:val="22"/>
                <w:szCs w:val="28"/>
                <w:lang w:val="en-US" w:eastAsia="zh-CN"/>
              </w:rPr>
              <w:t>Index Data</w:t>
            </w:r>
            <w:r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  <w:t xml:space="preserve"> 消息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180" w:firstLineChars="100"/>
              <w:jc w:val="left"/>
              <w:textAlignment w:val="auto"/>
              <w:rPr>
                <w:rFonts w:hint="default" w:ascii="楷体_GB2312" w:hAnsi="Times New Roman" w:eastAsia="楷体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  <w:t>规范定义：《OMDC Spec》message type 71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180" w:firstLineChars="100"/>
              <w:jc w:val="left"/>
              <w:textAlignment w:val="auto"/>
              <w:rPr>
                <w:rFonts w:hint="default" w:ascii="楷体_GB2312" w:hAnsi="Times New Roman" w:eastAsia="楷体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  <w:t>参考用例：《Answer Book》Session 1 Test case 17</w:t>
            </w:r>
          </w:p>
        </w:tc>
        <w:tc>
          <w:tcPr>
            <w:tcW w:w="24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315" w:type="dxa"/>
            <w:gridSpan w:val="5"/>
            <w:shd w:val="clear" w:color="auto" w:fill="D7D7D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left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b/>
                <w:bCs/>
                <w:sz w:val="22"/>
                <w:szCs w:val="28"/>
                <w:lang w:val="en-US" w:eastAsia="zh-CN"/>
              </w:rPr>
              <w:t>三、数据恢复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8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left"/>
              <w:textAlignment w:val="auto"/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  <w:t>Case 3.1.1：能够检测到序号跳空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180" w:firstLineChars="100"/>
              <w:jc w:val="left"/>
              <w:textAlignment w:val="auto"/>
              <w:rPr>
                <w:rFonts w:hint="default" w:ascii="楷体_GB2312" w:hAnsi="Times New Roman" w:eastAsia="楷体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  <w:t>规范定义：《港交所Binary行情数据接口规范》3.2</w:t>
            </w:r>
          </w:p>
        </w:tc>
        <w:tc>
          <w:tcPr>
            <w:tcW w:w="24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8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left"/>
              <w:textAlignment w:val="auto"/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  <w:t>Case 3.1.2：通过重传补回丢失序号的消息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180" w:firstLineChars="100"/>
              <w:jc w:val="left"/>
              <w:textAlignment w:val="auto"/>
              <w:rPr>
                <w:rFonts w:hint="default" w:ascii="楷体_GB2312" w:hAnsi="Times New Roman" w:eastAsia="楷体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  <w:t>规范定义：《港交所Binary行情数据接口规范》4.2.2</w:t>
            </w:r>
          </w:p>
        </w:tc>
        <w:tc>
          <w:tcPr>
            <w:tcW w:w="24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8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left"/>
              <w:textAlignment w:val="auto"/>
              <w:rPr>
                <w:rFonts w:hint="default" w:ascii="楷体_GB2312" w:hAnsi="Times New Roman" w:eastAsia="楷体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  <w:t>Case 3.2.1：通过Refresh恢复</w:t>
            </w:r>
            <w:r>
              <w:rPr>
                <w:rFonts w:hint="default" w:ascii="楷体_GB2312" w:hAnsi="Times New Roman" w:eastAsia="楷体_GB2312" w:cs="Times New Roman"/>
                <w:sz w:val="22"/>
                <w:szCs w:val="28"/>
                <w:lang w:val="en-US" w:eastAsia="zh-CN"/>
              </w:rPr>
              <w:t>Market Definition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180" w:firstLineChars="100"/>
              <w:jc w:val="left"/>
              <w:textAlignment w:val="auto"/>
              <w:rPr>
                <w:rFonts w:hint="default" w:ascii="楷体_GB2312" w:hAnsi="Times New Roman" w:eastAsia="楷体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  <w:t>规范定义：《OMDC Spec》message type 10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180" w:firstLineChars="100"/>
              <w:jc w:val="left"/>
              <w:textAlignment w:val="auto"/>
              <w:rPr>
                <w:rFonts w:hint="eastAsia" w:ascii="楷体_GB2312" w:hAnsi="Times New Roman" w:eastAsia="楷体_GB2312" w:cs="Times New Roman"/>
                <w:b/>
                <w:bCs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  <w:t>参考用例：《Answer Book》Session 2 Test case 1</w:t>
            </w:r>
          </w:p>
        </w:tc>
        <w:tc>
          <w:tcPr>
            <w:tcW w:w="24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8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left"/>
              <w:textAlignment w:val="auto"/>
              <w:rPr>
                <w:rFonts w:hint="default" w:ascii="楷体_GB2312" w:hAnsi="Times New Roman" w:eastAsia="楷体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  <w:t>Case 3.2.2：通过Refresh恢复</w:t>
            </w:r>
            <w:r>
              <w:rPr>
                <w:rFonts w:hint="default" w:ascii="楷体_GB2312" w:hAnsi="Times New Roman" w:eastAsia="楷体_GB2312" w:cs="Times New Roman"/>
                <w:sz w:val="22"/>
                <w:szCs w:val="28"/>
                <w:lang w:val="en-US" w:eastAsia="zh-CN"/>
              </w:rPr>
              <w:t>Securities Definition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180" w:firstLineChars="100"/>
              <w:jc w:val="left"/>
              <w:textAlignment w:val="auto"/>
              <w:rPr>
                <w:rFonts w:hint="default" w:ascii="楷体_GB2312" w:hAnsi="Times New Roman" w:eastAsia="楷体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  <w:t>规范定义：《OMDC Spec》message type 11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180" w:firstLineChars="100"/>
              <w:jc w:val="left"/>
              <w:textAlignment w:val="auto"/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  <w:t>参考用例：《Answer Book》Session 2 Test case 2</w:t>
            </w:r>
          </w:p>
        </w:tc>
        <w:tc>
          <w:tcPr>
            <w:tcW w:w="24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8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left"/>
              <w:textAlignment w:val="auto"/>
              <w:rPr>
                <w:rFonts w:hint="default" w:ascii="楷体_GB2312" w:hAnsi="Times New Roman" w:eastAsia="楷体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  <w:t>Case 3.2.3：通过Refresh恢复</w:t>
            </w:r>
            <w:r>
              <w:rPr>
                <w:rFonts w:hint="default" w:ascii="楷体_GB2312" w:hAnsi="Times New Roman" w:eastAsia="楷体_GB2312" w:cs="Times New Roman"/>
                <w:sz w:val="22"/>
                <w:szCs w:val="28"/>
                <w:lang w:val="en-US" w:eastAsia="zh-CN"/>
              </w:rPr>
              <w:t>Currency Rate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180" w:firstLineChars="100"/>
              <w:jc w:val="left"/>
              <w:textAlignment w:val="auto"/>
              <w:rPr>
                <w:rFonts w:hint="default" w:ascii="楷体_GB2312" w:hAnsi="Times New Roman" w:eastAsia="楷体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  <w:t>规范定义：《OMDC Spec》message type 14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180" w:firstLineChars="100"/>
              <w:jc w:val="left"/>
              <w:textAlignment w:val="auto"/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  <w:t>参考用例：《Answer Book》Session 2 Test case 3</w:t>
            </w:r>
          </w:p>
        </w:tc>
        <w:tc>
          <w:tcPr>
            <w:tcW w:w="24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8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left"/>
              <w:textAlignment w:val="auto"/>
              <w:rPr>
                <w:rFonts w:hint="default" w:ascii="楷体_GB2312" w:hAnsi="Times New Roman" w:eastAsia="楷体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  <w:t>Case 3.2.4：通过Refresh恢复</w:t>
            </w:r>
            <w:r>
              <w:rPr>
                <w:rFonts w:hint="default" w:ascii="楷体_GB2312" w:hAnsi="Times New Roman" w:eastAsia="楷体_GB2312" w:cs="Times New Roman"/>
                <w:sz w:val="22"/>
                <w:szCs w:val="28"/>
                <w:lang w:val="en-US" w:eastAsia="zh-CN"/>
              </w:rPr>
              <w:t>Trading Session Status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180" w:firstLineChars="100"/>
              <w:jc w:val="left"/>
              <w:textAlignment w:val="auto"/>
              <w:rPr>
                <w:rFonts w:hint="default" w:ascii="楷体_GB2312" w:hAnsi="Times New Roman" w:eastAsia="楷体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  <w:t>规范定义：《OMDC Spec》message type 20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180" w:firstLineChars="100"/>
              <w:jc w:val="left"/>
              <w:textAlignment w:val="auto"/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  <w:t>参考用例：《Answer Book》Session 2 Test case 4</w:t>
            </w:r>
          </w:p>
        </w:tc>
        <w:tc>
          <w:tcPr>
            <w:tcW w:w="24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8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left"/>
              <w:textAlignment w:val="auto"/>
              <w:rPr>
                <w:rFonts w:hint="default" w:ascii="楷体_GB2312" w:hAnsi="Times New Roman" w:eastAsia="楷体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  <w:t>Case 3.2.5：通过Refresh恢复</w:t>
            </w:r>
            <w:r>
              <w:rPr>
                <w:rFonts w:hint="default" w:ascii="楷体_GB2312" w:hAnsi="Times New Roman" w:eastAsia="楷体_GB2312" w:cs="Times New Roman"/>
                <w:sz w:val="22"/>
                <w:szCs w:val="28"/>
                <w:lang w:val="en-US" w:eastAsia="zh-CN"/>
              </w:rPr>
              <w:t>Nominal Price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180" w:firstLineChars="100"/>
              <w:jc w:val="left"/>
              <w:textAlignment w:val="auto"/>
              <w:rPr>
                <w:rFonts w:hint="default" w:ascii="楷体_GB2312" w:hAnsi="Times New Roman" w:eastAsia="楷体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  <w:t>规范定义：《OMDC Spec》message type 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180" w:firstLineChars="100"/>
              <w:jc w:val="left"/>
              <w:textAlignment w:val="auto"/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  <w:t>参考用例：《Answer Book》Session 2 Test case 5</w:t>
            </w:r>
          </w:p>
        </w:tc>
        <w:tc>
          <w:tcPr>
            <w:tcW w:w="24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8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left"/>
              <w:textAlignment w:val="auto"/>
              <w:rPr>
                <w:rFonts w:hint="default" w:ascii="楷体_GB2312" w:hAnsi="Times New Roman" w:eastAsia="楷体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  <w:t>Case 3.2.6：通过Refresh恢复</w:t>
            </w:r>
            <w:r>
              <w:rPr>
                <w:rFonts w:hint="default" w:ascii="楷体_GB2312" w:hAnsi="Times New Roman" w:eastAsia="楷体_GB2312" w:cs="Times New Roman"/>
                <w:sz w:val="22"/>
                <w:szCs w:val="28"/>
                <w:lang w:val="en-US" w:eastAsia="zh-CN"/>
              </w:rPr>
              <w:t>Statistics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180" w:firstLineChars="100"/>
              <w:jc w:val="left"/>
              <w:textAlignment w:val="auto"/>
              <w:rPr>
                <w:rFonts w:hint="default" w:ascii="楷体_GB2312" w:hAnsi="Times New Roman" w:eastAsia="楷体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  <w:t>规范定义：《OMDC Spec》message type 60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180" w:firstLineChars="100"/>
              <w:jc w:val="left"/>
              <w:textAlignment w:val="auto"/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  <w:t>参考用例：《Answer Book》Session 2 Test case 6</w:t>
            </w:r>
          </w:p>
        </w:tc>
        <w:tc>
          <w:tcPr>
            <w:tcW w:w="24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8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left"/>
              <w:textAlignment w:val="auto"/>
              <w:rPr>
                <w:rFonts w:hint="default" w:ascii="楷体_GB2312" w:hAnsi="Times New Roman" w:eastAsia="楷体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  <w:t>Case 3.2.7：通过Refresh恢复</w:t>
            </w:r>
            <w:r>
              <w:rPr>
                <w:rFonts w:hint="default" w:ascii="楷体_GB2312" w:hAnsi="Times New Roman" w:eastAsia="楷体_GB2312" w:cs="Times New Roman"/>
                <w:sz w:val="22"/>
                <w:szCs w:val="28"/>
                <w:lang w:val="en-US" w:eastAsia="zh-CN"/>
              </w:rPr>
              <w:t xml:space="preserve">Market Turnover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180" w:firstLineChars="100"/>
              <w:jc w:val="left"/>
              <w:textAlignment w:val="auto"/>
              <w:rPr>
                <w:rFonts w:hint="default" w:ascii="楷体_GB2312" w:hAnsi="Times New Roman" w:eastAsia="楷体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  <w:t>规范定义：《OMDC Spec》message type 61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180" w:firstLineChars="100"/>
              <w:jc w:val="left"/>
              <w:textAlignment w:val="auto"/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  <w:t>参考用例：《Answer Book》Session 2 Test case 7</w:t>
            </w:r>
          </w:p>
        </w:tc>
        <w:tc>
          <w:tcPr>
            <w:tcW w:w="24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315" w:type="dxa"/>
            <w:gridSpan w:val="5"/>
            <w:shd w:val="clear" w:color="auto" w:fill="D7D7D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left"/>
              <w:textAlignment w:val="auto"/>
              <w:rPr>
                <w:rFonts w:hint="default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b/>
                <w:bCs/>
                <w:sz w:val="22"/>
                <w:szCs w:val="28"/>
                <w:lang w:val="en-US" w:eastAsia="zh-CN"/>
              </w:rPr>
              <w:t>四、性能和容量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8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left"/>
              <w:textAlignment w:val="auto"/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  <w:t>Case 4.1：完成一场性能测试，能够完整收取所有业务消息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180" w:firstLineChars="100"/>
              <w:jc w:val="left"/>
              <w:textAlignment w:val="auto"/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  <w:t>注：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180" w:firstLineChars="100"/>
              <w:jc w:val="left"/>
              <w:textAlignment w:val="auto"/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  <w:t>需按频道统计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180" w:firstLineChars="100"/>
              <w:jc w:val="left"/>
              <w:textAlignment w:val="auto"/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  <w:t>测试结果必须为未丢失消息或丢失少量消息但可以通过重传补回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180" w:firstLineChars="100"/>
              <w:jc w:val="left"/>
              <w:textAlignment w:val="auto"/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  <w:t>带宽不足会造成大量丢包，若仿真环境不具备足够的带宽条件，可申请生产环境测试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180" w:firstLineChars="100"/>
              <w:jc w:val="left"/>
              <w:textAlignment w:val="auto"/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  <w:t>参考用例：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180" w:firstLineChars="100"/>
              <w:jc w:val="left"/>
              <w:textAlignment w:val="auto"/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  <w:t>1.《Answer Book》Session 4 Test case 1（50%压力）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180" w:firstLineChars="100"/>
              <w:jc w:val="left"/>
              <w:textAlignment w:val="auto"/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  <w:t>2.《Answer Book》Session 4 Test case 1（100%压力）</w:t>
            </w:r>
          </w:p>
        </w:tc>
        <w:tc>
          <w:tcPr>
            <w:tcW w:w="24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8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jc w:val="left"/>
              <w:textAlignment w:val="auto"/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  <w:t>Case 4.2：完成一场生产数据回放测试，能够完整收取所有业务消息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180" w:firstLineChars="100"/>
              <w:jc w:val="left"/>
              <w:textAlignment w:val="auto"/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  <w:t>注：生产数据回放的测试机会请参考测试时间安排</w:t>
            </w:r>
          </w:p>
        </w:tc>
        <w:tc>
          <w:tcPr>
            <w:tcW w:w="24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315" w:type="dxa"/>
            <w:gridSpan w:val="5"/>
            <w:shd w:val="clear" w:color="auto" w:fill="D7D7D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left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b/>
                <w:bCs/>
                <w:sz w:val="22"/>
                <w:szCs w:val="28"/>
                <w:lang w:val="en-US" w:eastAsia="zh-CN"/>
              </w:rPr>
              <w:t>五、灾难恢复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8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left"/>
              <w:textAlignment w:val="auto"/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  <w:t>Case 5.1：解析并处理</w:t>
            </w:r>
            <w:r>
              <w:rPr>
                <w:rFonts w:hint="default" w:ascii="楷体_GB2312" w:hAnsi="Times New Roman" w:eastAsia="楷体_GB2312" w:cs="Times New Roman"/>
                <w:sz w:val="22"/>
                <w:szCs w:val="28"/>
                <w:lang w:val="en-US" w:eastAsia="zh-CN"/>
              </w:rPr>
              <w:t>Sequence Reset</w:t>
            </w:r>
            <w:r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  <w:t>消息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180" w:firstLineChars="100"/>
              <w:jc w:val="left"/>
              <w:textAlignment w:val="auto"/>
              <w:rPr>
                <w:rFonts w:hint="default" w:ascii="楷体_GB2312" w:hAnsi="Times New Roman" w:eastAsia="楷体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  <w:t>规范定义：《OMDC Spec》message type 100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180" w:firstLineChars="100"/>
              <w:jc w:val="left"/>
              <w:textAlignment w:val="auto"/>
              <w:rPr>
                <w:rFonts w:hint="eastAsia" w:ascii="楷体_GB2312" w:hAnsi="Times New Roman" w:eastAsia="楷体_GB2312" w:cs="Times New Roman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  <w:t>参考用例：《Answer Book》Session 5 Test case 1</w:t>
            </w:r>
          </w:p>
        </w:tc>
        <w:tc>
          <w:tcPr>
            <w:tcW w:w="24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8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left"/>
              <w:textAlignment w:val="auto"/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  <w:t>Case 5.2：解析并处理</w:t>
            </w:r>
            <w:r>
              <w:rPr>
                <w:rFonts w:hint="default" w:ascii="楷体_GB2312" w:hAnsi="Times New Roman" w:eastAsia="楷体_GB2312" w:cs="Times New Roman"/>
                <w:sz w:val="22"/>
                <w:szCs w:val="28"/>
                <w:lang w:val="en-US" w:eastAsia="zh-CN"/>
              </w:rPr>
              <w:t>Disaster Recovery</w:t>
            </w:r>
            <w:r>
              <w:rPr>
                <w:rFonts w:hint="eastAsia" w:ascii="楷体_GB2312" w:hAnsi="Times New Roman" w:eastAsia="楷体_GB2312" w:cs="Times New Roman"/>
                <w:sz w:val="22"/>
                <w:szCs w:val="28"/>
                <w:lang w:val="en-US" w:eastAsia="zh-CN"/>
              </w:rPr>
              <w:t>消息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180" w:firstLineChars="100"/>
              <w:jc w:val="left"/>
              <w:textAlignment w:val="auto"/>
              <w:rPr>
                <w:rFonts w:hint="default" w:ascii="楷体_GB2312" w:hAnsi="Times New Roman" w:eastAsia="楷体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  <w:t>规范定义：《OMDC Spec》message type 105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180" w:firstLineChars="100"/>
              <w:jc w:val="left"/>
              <w:textAlignment w:val="auto"/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18"/>
                <w:szCs w:val="18"/>
                <w:lang w:val="en-US" w:eastAsia="zh-CN"/>
              </w:rPr>
              <w:t>参考用例：《Answer Book》Session 5 Test case 5</w:t>
            </w:r>
          </w:p>
        </w:tc>
        <w:tc>
          <w:tcPr>
            <w:tcW w:w="24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315" w:type="dxa"/>
            <w:gridSpan w:val="5"/>
            <w:shd w:val="clear" w:color="auto" w:fill="D7D7D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jc w:val="left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b/>
                <w:bCs/>
                <w:sz w:val="22"/>
                <w:szCs w:val="28"/>
                <w:lang w:val="en-US" w:eastAsia="zh-CN"/>
              </w:rPr>
              <w:t>异常情况说明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6" w:hRule="atLeast"/>
          <w:jc w:val="center"/>
        </w:trPr>
        <w:tc>
          <w:tcPr>
            <w:tcW w:w="8315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firstLine="0" w:firstLineChars="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</w:p>
        </w:tc>
      </w:tr>
    </w:tbl>
    <w:p>
      <w:pPr>
        <w:pStyle w:val="2"/>
        <w:spacing w:after="156"/>
        <w:ind w:left="0" w:leftChars="0" w:firstLine="0" w:firstLineChars="0"/>
        <w:rPr>
          <w:rFonts w:hint="eastAsia"/>
        </w:rPr>
      </w:pPr>
    </w:p>
    <w:p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3" w:bottom="1440" w:left="1803" w:header="851" w:footer="992" w:gutter="0"/>
      <w:pgNumType w:start="1"/>
      <w:cols w:space="720" w:num="1"/>
      <w:rtlGutter w:val="0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single" w:color="auto" w:sz="6" w:space="1"/>
      </w:pBdr>
      <w:wordWrap w:val="0"/>
      <w:spacing w:after="120"/>
      <w:ind w:right="360"/>
      <w:jc w:val="center"/>
    </w:pPr>
    <w:r>
      <w:rPr>
        <w:rFonts w:hint="eastAsia"/>
        <w:kern w:val="0"/>
        <w:szCs w:val="21"/>
      </w:rPr>
      <w:t xml:space="preserve">本文档使用系统用户手册模板V1.0                                                  第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3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single" w:color="auto" w:sz="6" w:space="1"/>
      </w:pBdr>
      <w:spacing w:after="120"/>
      <w:ind w:firstLine="7650" w:firstLineChars="4250"/>
      <w:rPr>
        <w:rFonts w:hint="eastAsia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-12065</wp:posOffset>
          </wp:positionH>
          <wp:positionV relativeFrom="paragraph">
            <wp:posOffset>45720</wp:posOffset>
          </wp:positionV>
          <wp:extent cx="1514475" cy="209550"/>
          <wp:effectExtent l="0" t="0" r="9525" b="0"/>
          <wp:wrapTopAndBottom/>
          <wp:docPr id="1" name="图片 1" descr="标志＋中英文全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标志＋中英文全称"/>
                  <pic:cNvPicPr>
                    <a:picLocks noChangeAspect="1"/>
                  </pic:cNvPicPr>
                </pic:nvPicPr>
                <pic:blipFill>
                  <a:blip r:embed="rId1">
                    <a:lum bright="39999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kern w:val="0"/>
        <w:szCs w:val="21"/>
      </w:rPr>
      <w:t xml:space="preserve">第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2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thinThickSmallGap" w:color="auto" w:sz="24" w:space="1"/>
      </w:pBdr>
      <w:spacing w:after="120"/>
      <w:jc w:val="right"/>
      <w:rPr>
        <w:rFonts w:hint="eastAsia"/>
      </w:rPr>
    </w:pPr>
    <w:r>
      <w:rPr>
        <w:rFonts w:hint="eastAsia"/>
        <w:lang w:eastAsia="zh-CN"/>
      </w:rPr>
      <w:t>“易境通”交易网关</w:t>
    </w:r>
    <w:r>
      <w:fldChar w:fldCharType="begin"/>
    </w:r>
    <w:r>
      <w:instrText xml:space="preserve"> </w:instrText>
    </w:r>
    <w:r>
      <w:rPr>
        <w:rFonts w:hint="eastAsia"/>
      </w:rPr>
      <w:instrText xml:space="preserve">TITLE   \* MERGEFORMAT</w:instrText>
    </w:r>
    <w:r>
      <w:instrText xml:space="preserve"> </w:instrText>
    </w:r>
    <w:r>
      <w:fldChar w:fldCharType="separate"/>
    </w:r>
    <w:r>
      <w:fldChar w:fldCharType="end"/>
    </w:r>
    <w:r>
      <w:rPr>
        <w:rFonts w:hint="eastAsia"/>
        <w:lang w:eastAsia="zh-CN"/>
      </w:rPr>
      <w:t>准入规范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thinThickSmallGap" w:color="auto" w:sz="24" w:space="1"/>
      </w:pBdr>
      <w:spacing w:after="120"/>
      <w:jc w:val="both"/>
      <w:rPr>
        <w:rFonts w:hint="eastAsia"/>
      </w:rPr>
    </w:pPr>
    <w:r>
      <w:rPr>
        <w:rFonts w:hint="eastAsia"/>
        <w:lang w:eastAsia="zh-CN"/>
      </w:rPr>
      <w:t>“易境通”交易网关</w:t>
    </w:r>
    <w:r>
      <w:fldChar w:fldCharType="begin"/>
    </w:r>
    <w:r>
      <w:instrText xml:space="preserve"> </w:instrText>
    </w:r>
    <w:r>
      <w:rPr>
        <w:rFonts w:hint="eastAsia"/>
      </w:rPr>
      <w:instrText xml:space="preserve">TITLE   \* MERGEFORMAT</w:instrText>
    </w:r>
    <w:r>
      <w:instrText xml:space="preserve"> </w:instrText>
    </w:r>
    <w:r>
      <w:fldChar w:fldCharType="separate"/>
    </w:r>
    <w:r>
      <w:rPr>
        <w:rFonts w:hint="eastAsia"/>
      </w:rPr>
      <w:t>用户手册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21545C"/>
    <w:multiLevelType w:val="singleLevel"/>
    <w:tmpl w:val="A821545C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DC9D18F2"/>
    <w:multiLevelType w:val="multilevel"/>
    <w:tmpl w:val="DC9D18F2"/>
    <w:lvl w:ilvl="0" w:tentative="0">
      <w:start w:val="1"/>
      <w:numFmt w:val="decimal"/>
      <w:lvlText w:val="%1."/>
      <w:lvlJc w:val="left"/>
      <w:pPr>
        <w:tabs>
          <w:tab w:val="left" w:pos="1003"/>
        </w:tabs>
        <w:ind w:left="1003" w:hanging="720"/>
      </w:pPr>
    </w:lvl>
    <w:lvl w:ilvl="1" w:tentative="0">
      <w:start w:val="1"/>
      <w:numFmt w:val="decimal"/>
      <w:lvlText w:val="%2."/>
      <w:lvlJc w:val="left"/>
      <w:pPr>
        <w:tabs>
          <w:tab w:val="left" w:pos="1723"/>
        </w:tabs>
        <w:ind w:left="1723" w:hanging="720"/>
      </w:pPr>
    </w:lvl>
    <w:lvl w:ilvl="2" w:tentative="0">
      <w:start w:val="1"/>
      <w:numFmt w:val="decimal"/>
      <w:lvlText w:val="%3."/>
      <w:lvlJc w:val="left"/>
      <w:pPr>
        <w:tabs>
          <w:tab w:val="left" w:pos="2443"/>
        </w:tabs>
        <w:ind w:left="2443" w:hanging="720"/>
      </w:pPr>
    </w:lvl>
    <w:lvl w:ilvl="3" w:tentative="0">
      <w:start w:val="1"/>
      <w:numFmt w:val="decimal"/>
      <w:lvlText w:val="%4."/>
      <w:lvlJc w:val="left"/>
      <w:pPr>
        <w:tabs>
          <w:tab w:val="left" w:pos="3163"/>
        </w:tabs>
        <w:ind w:left="3163" w:hanging="720"/>
      </w:pPr>
    </w:lvl>
    <w:lvl w:ilvl="4" w:tentative="0">
      <w:start w:val="1"/>
      <w:numFmt w:val="decimal"/>
      <w:lvlText w:val="%5."/>
      <w:lvlJc w:val="left"/>
      <w:pPr>
        <w:tabs>
          <w:tab w:val="left" w:pos="3883"/>
        </w:tabs>
        <w:ind w:left="3883" w:hanging="720"/>
      </w:pPr>
    </w:lvl>
    <w:lvl w:ilvl="5" w:tentative="0">
      <w:start w:val="1"/>
      <w:numFmt w:val="decimal"/>
      <w:lvlText w:val="%6."/>
      <w:lvlJc w:val="left"/>
      <w:pPr>
        <w:tabs>
          <w:tab w:val="left" w:pos="4603"/>
        </w:tabs>
        <w:ind w:left="4603" w:hanging="720"/>
      </w:pPr>
    </w:lvl>
    <w:lvl w:ilvl="6" w:tentative="0">
      <w:start w:val="1"/>
      <w:numFmt w:val="decimal"/>
      <w:lvlText w:val="%7."/>
      <w:lvlJc w:val="left"/>
      <w:pPr>
        <w:tabs>
          <w:tab w:val="left" w:pos="5323"/>
        </w:tabs>
        <w:ind w:left="5323" w:hanging="720"/>
      </w:pPr>
    </w:lvl>
    <w:lvl w:ilvl="7" w:tentative="0">
      <w:start w:val="1"/>
      <w:numFmt w:val="decimal"/>
      <w:lvlText w:val="%8."/>
      <w:lvlJc w:val="left"/>
      <w:pPr>
        <w:tabs>
          <w:tab w:val="left" w:pos="6043"/>
        </w:tabs>
        <w:ind w:left="6043" w:hanging="720"/>
      </w:pPr>
    </w:lvl>
    <w:lvl w:ilvl="8" w:tentative="0">
      <w:start w:val="1"/>
      <w:numFmt w:val="decimal"/>
      <w:lvlText w:val="%9."/>
      <w:lvlJc w:val="left"/>
      <w:pPr>
        <w:tabs>
          <w:tab w:val="left" w:pos="6763"/>
        </w:tabs>
        <w:ind w:left="6763" w:hanging="720"/>
      </w:pPr>
    </w:lvl>
  </w:abstractNum>
  <w:abstractNum w:abstractNumId="2">
    <w:nsid w:val="298879B0"/>
    <w:multiLevelType w:val="multilevel"/>
    <w:tmpl w:val="298879B0"/>
    <w:lvl w:ilvl="0" w:tentative="0">
      <w:start w:val="1"/>
      <w:numFmt w:val="decimal"/>
      <w:suff w:val="nothing"/>
      <w:lvlText w:val="%1、"/>
      <w:lvlJc w:val="left"/>
      <w:pPr>
        <w:ind w:left="0" w:firstLine="420"/>
      </w:pPr>
      <w:rPr>
        <w:rFonts w:hint="default"/>
      </w:r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1260" w:hanging="42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680" w:hanging="42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2100" w:hanging="42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520" w:hanging="42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940" w:hanging="42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3360" w:hanging="42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780" w:hanging="42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4200" w:hanging="420"/>
      </w:pPr>
      <w:rPr>
        <w:rFonts w:hint="default"/>
      </w:rPr>
    </w:lvl>
  </w:abstractNum>
  <w:abstractNum w:abstractNumId="3">
    <w:nsid w:val="30BC4983"/>
    <w:multiLevelType w:val="multilevel"/>
    <w:tmpl w:val="30BC4983"/>
    <w:lvl w:ilvl="0" w:tentative="0">
      <w:start w:val="1"/>
      <w:numFmt w:val="decimal"/>
      <w:suff w:val="space"/>
      <w:lvlText w:val="%1."/>
      <w:lvlJc w:val="left"/>
      <w:pPr>
        <w:ind w:left="70" w:firstLine="0"/>
      </w:pPr>
      <w:rPr>
        <w:rFonts w:hint="default" w:ascii="Times New Roman" w:hAnsi="Times New Roman" w:cs="Times New Roman"/>
        <w:sz w:val="28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32A840D7"/>
    <w:multiLevelType w:val="multilevel"/>
    <w:tmpl w:val="32A840D7"/>
    <w:lvl w:ilvl="0" w:tentative="0">
      <w:start w:val="1"/>
      <w:numFmt w:val="decimal"/>
      <w:lvlText w:val="%1."/>
      <w:lvlJc w:val="left"/>
      <w:pPr>
        <w:tabs>
          <w:tab w:val="left" w:pos="1003"/>
        </w:tabs>
        <w:ind w:left="1003" w:hanging="720"/>
      </w:pPr>
    </w:lvl>
    <w:lvl w:ilvl="1" w:tentative="0">
      <w:start w:val="1"/>
      <w:numFmt w:val="decimal"/>
      <w:lvlText w:val="%2."/>
      <w:lvlJc w:val="left"/>
      <w:pPr>
        <w:tabs>
          <w:tab w:val="left" w:pos="1723"/>
        </w:tabs>
        <w:ind w:left="1723" w:hanging="720"/>
      </w:pPr>
    </w:lvl>
    <w:lvl w:ilvl="2" w:tentative="0">
      <w:start w:val="1"/>
      <w:numFmt w:val="decimal"/>
      <w:lvlText w:val="%3."/>
      <w:lvlJc w:val="left"/>
      <w:pPr>
        <w:tabs>
          <w:tab w:val="left" w:pos="2443"/>
        </w:tabs>
        <w:ind w:left="2443" w:hanging="720"/>
      </w:pPr>
    </w:lvl>
    <w:lvl w:ilvl="3" w:tentative="0">
      <w:start w:val="1"/>
      <w:numFmt w:val="decimal"/>
      <w:lvlText w:val="%4."/>
      <w:lvlJc w:val="left"/>
      <w:pPr>
        <w:tabs>
          <w:tab w:val="left" w:pos="3163"/>
        </w:tabs>
        <w:ind w:left="3163" w:hanging="720"/>
      </w:pPr>
    </w:lvl>
    <w:lvl w:ilvl="4" w:tentative="0">
      <w:start w:val="1"/>
      <w:numFmt w:val="decimal"/>
      <w:lvlText w:val="%5."/>
      <w:lvlJc w:val="left"/>
      <w:pPr>
        <w:tabs>
          <w:tab w:val="left" w:pos="3883"/>
        </w:tabs>
        <w:ind w:left="3883" w:hanging="720"/>
      </w:pPr>
    </w:lvl>
    <w:lvl w:ilvl="5" w:tentative="0">
      <w:start w:val="1"/>
      <w:numFmt w:val="decimal"/>
      <w:lvlText w:val="%6."/>
      <w:lvlJc w:val="left"/>
      <w:pPr>
        <w:tabs>
          <w:tab w:val="left" w:pos="4603"/>
        </w:tabs>
        <w:ind w:left="4603" w:hanging="720"/>
      </w:pPr>
    </w:lvl>
    <w:lvl w:ilvl="6" w:tentative="0">
      <w:start w:val="1"/>
      <w:numFmt w:val="decimal"/>
      <w:lvlText w:val="%7."/>
      <w:lvlJc w:val="left"/>
      <w:pPr>
        <w:tabs>
          <w:tab w:val="left" w:pos="5323"/>
        </w:tabs>
        <w:ind w:left="5323" w:hanging="720"/>
      </w:pPr>
    </w:lvl>
    <w:lvl w:ilvl="7" w:tentative="0">
      <w:start w:val="1"/>
      <w:numFmt w:val="decimal"/>
      <w:lvlText w:val="%8."/>
      <w:lvlJc w:val="left"/>
      <w:pPr>
        <w:tabs>
          <w:tab w:val="left" w:pos="6043"/>
        </w:tabs>
        <w:ind w:left="6043" w:hanging="720"/>
      </w:pPr>
    </w:lvl>
    <w:lvl w:ilvl="8" w:tentative="0">
      <w:start w:val="1"/>
      <w:numFmt w:val="decimal"/>
      <w:lvlText w:val="%9."/>
      <w:lvlJc w:val="left"/>
      <w:pPr>
        <w:tabs>
          <w:tab w:val="left" w:pos="6763"/>
        </w:tabs>
        <w:ind w:left="6763" w:hanging="720"/>
      </w:pPr>
    </w:lvl>
  </w:abstractNum>
  <w:abstractNum w:abstractNumId="5">
    <w:nsid w:val="3B3473B7"/>
    <w:multiLevelType w:val="multilevel"/>
    <w:tmpl w:val="3B3473B7"/>
    <w:lvl w:ilvl="0" w:tentative="0">
      <w:start w:val="1"/>
      <w:numFmt w:val="decimal"/>
      <w:suff w:val="space"/>
      <w:lvlText w:val="%1."/>
      <w:lvlJc w:val="left"/>
      <w:pPr>
        <w:ind w:left="70" w:firstLine="0"/>
      </w:pPr>
      <w:rPr>
        <w:rFonts w:hint="default" w:ascii="Times New Roman" w:hAnsi="Times New Roman" w:cs="Times New Roman"/>
        <w:sz w:val="28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6">
    <w:nsid w:val="59D755D2"/>
    <w:multiLevelType w:val="multilevel"/>
    <w:tmpl w:val="59D755D2"/>
    <w:lvl w:ilvl="0" w:tentative="0">
      <w:start w:val="1"/>
      <w:numFmt w:val="chineseCountingThousand"/>
      <w:lvlText w:val="%1、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554BF2"/>
    <w:rsid w:val="030910C0"/>
    <w:rsid w:val="071949FE"/>
    <w:rsid w:val="0CE2732A"/>
    <w:rsid w:val="0EAA40E8"/>
    <w:rsid w:val="13CB3A9F"/>
    <w:rsid w:val="16425343"/>
    <w:rsid w:val="21CA5933"/>
    <w:rsid w:val="2E513ADD"/>
    <w:rsid w:val="2EE735C7"/>
    <w:rsid w:val="3730221B"/>
    <w:rsid w:val="391F3C45"/>
    <w:rsid w:val="3D702D08"/>
    <w:rsid w:val="47212478"/>
    <w:rsid w:val="4F72262B"/>
    <w:rsid w:val="4F840281"/>
    <w:rsid w:val="55554BF2"/>
    <w:rsid w:val="560D6429"/>
    <w:rsid w:val="58BF43E9"/>
    <w:rsid w:val="6EAB66A1"/>
    <w:rsid w:val="71034277"/>
    <w:rsid w:val="795E2EBB"/>
    <w:rsid w:val="7A5E16A6"/>
    <w:rsid w:val="7C886FC5"/>
    <w:rsid w:val="7F5C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9">
    <w:name w:val="font11"/>
    <w:basedOn w:val="7"/>
    <w:qFormat/>
    <w:uiPriority w:val="0"/>
    <w:rPr>
      <w:rFonts w:hint="eastAsia" w:ascii="仿宋" w:hAnsi="仿宋" w:eastAsia="仿宋" w:cs="仿宋"/>
      <w:color w:val="FF0000"/>
      <w:sz w:val="24"/>
      <w:szCs w:val="24"/>
      <w:u w:val="none"/>
    </w:rPr>
  </w:style>
  <w:style w:type="character" w:customStyle="1" w:styleId="10">
    <w:name w:val="font21"/>
    <w:basedOn w:val="7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2024-02-19T01:39:00Z</dcterms:created>
  <dc:creator>xiaodan</dc:creator>
  <cp:lastModifiedBy>xiaodan</cp:lastModifiedBy>
  <dcterms:modified xsi:type="dcterms:W3CDTF">2024-03-12T07:33:14Z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F0CDBDAA276A4A8BA41C1A6F4D4FECB2</vt:lpwstr>
  </property>
</Properties>
</file>