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2024年5月11日易境通平台新增港股行情</w:t>
      </w:r>
    </w:p>
    <w:p>
      <w:pPr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sz w:val="32"/>
          <w:szCs w:val="32"/>
          <w:lang w:val="en-US" w:eastAsia="zh-CN"/>
        </w:rPr>
        <w:t>通关</w:t>
      </w:r>
      <w:r>
        <w:rPr>
          <w:rFonts w:hint="eastAsia"/>
          <w:b/>
          <w:sz w:val="32"/>
          <w:szCs w:val="32"/>
        </w:rPr>
        <w:t>测试</w:t>
      </w:r>
      <w:r>
        <w:rPr>
          <w:rFonts w:hint="eastAsia"/>
          <w:b/>
          <w:sz w:val="32"/>
          <w:szCs w:val="32"/>
          <w:lang w:val="en-US" w:eastAsia="zh-CN"/>
        </w:rPr>
        <w:t>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default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深圳证券通信有限公司（以下简称深证通）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5月11日组织通关测试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测试通过后正式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在易境通平台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进行港股行情的发送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，涵盖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港股原始行情数据实时转发、重传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等主要业务环节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测试当日实时数据来源为香港证券交易所（以下简称港交所）全网测试环境，重传数据来自深证通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4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4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中国结算深圳分公司</w:t>
      </w:r>
    </w:p>
    <w:p>
      <w:pPr>
        <w:pStyle w:val="4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港股行情试点机构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境内证券公司可通过易境通平台报送B转H（测试代码299902）及H股全流通交易卖出委托、转托管委托，并验证对应的回报是否正确。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境内证券公司通过易境通平台接收港股行情。</w:t>
      </w:r>
    </w:p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5月11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8:30至12:00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2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  <w:t>24日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9:15-11:30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测试代码299902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8:55-12:00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易境通港股行情接收时间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12:25之前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4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本次测试星期六进行清算，测试数据均以2024年5月10日周五闭市后为准。</w:t>
      </w:r>
    </w:p>
    <w:p>
      <w:pPr>
        <w:pStyle w:val="4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易境通交易网关版本号为20220629，行情网关版本号为20220922（未变更程序版本，如需测试港股行情需更新配置文件）。程序和文档详见深证通官网统一客户专区http://biz.sscc.com下载专区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内部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2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</w:tbl>
    <w:tbl>
      <w:tblPr>
        <w:tblStyle w:val="2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易境通H股全流通&amp;B转H行情组播IGMPv2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172.60.1.99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172.60.1.98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172.40.1.101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172.40.1.99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230.30.150.4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6004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公共数据通道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230.30.151.4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6104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标准版数据通道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230.30.152.4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6204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172.40.1.98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卓越版数据通道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840"/>
          <w:tab w:val="left" w:pos="928"/>
          <w:tab w:val="left" w:pos="1050"/>
        </w:tabs>
        <w:rPr>
          <w:rFonts w:hint="eastAsia" w:ascii="楷体" w:hAnsi="楷体" w:eastAsia="楷体" w:cs="楷体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5月11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请各参测单位认真组织，按照测试方案等相关技术文档做好准备，落实专人负责本次测试工作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。</w:t>
      </w:r>
    </w:p>
    <w:p/>
    <w:p/>
    <w:p>
      <w:pPr>
        <w:numPr>
          <w:ilvl w:val="0"/>
          <w:numId w:val="1"/>
        </w:numPr>
        <w:ind w:left="420" w:hanging="42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jc w:val="right"/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E40B4"/>
    <w:rsid w:val="0241242E"/>
    <w:rsid w:val="25185D08"/>
    <w:rsid w:val="2BEB3C1D"/>
    <w:rsid w:val="33B61BE4"/>
    <w:rsid w:val="3C8961DF"/>
    <w:rsid w:val="496D5A3E"/>
    <w:rsid w:val="50D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2024-05-06T06:44:00Z</dcterms:created>
  <dc:creator>xiaodan</dc:creator>
  <cp:lastModifiedBy>xiaodan</cp:lastModifiedBy>
  <dcterms:modified xsi:type="dcterms:W3CDTF">2024-05-08T05:51:15Z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7629E09A41BF4A648B53E09D70EFF50F</vt:lpwstr>
  </property>
</Properties>
</file>